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4C8C1" w14:textId="10D283E6" w:rsidR="00992162" w:rsidRPr="00935CCC" w:rsidRDefault="00DE0D05" w:rsidP="00935CCC">
      <w:pPr>
        <w:jc w:val="center"/>
        <w:rPr>
          <w:b/>
        </w:rPr>
      </w:pPr>
      <w:r>
        <w:rPr>
          <w:b/>
        </w:rPr>
        <w:t xml:space="preserve">UPR of Australia – </w:t>
      </w:r>
      <w:r w:rsidR="00A118D2" w:rsidRPr="00935CCC">
        <w:rPr>
          <w:b/>
        </w:rPr>
        <w:t>Opening statement</w:t>
      </w:r>
      <w:r>
        <w:rPr>
          <w:b/>
        </w:rPr>
        <w:t xml:space="preserve"> – UPR 2021 –</w:t>
      </w:r>
      <w:r w:rsidR="003D1D51">
        <w:rPr>
          <w:b/>
        </w:rPr>
        <w:t xml:space="preserve"> 20</w:t>
      </w:r>
      <w:r w:rsidR="008043E8">
        <w:rPr>
          <w:b/>
        </w:rPr>
        <w:t xml:space="preserve"> January 2021</w:t>
      </w:r>
    </w:p>
    <w:p w14:paraId="261CA405" w14:textId="77777777" w:rsidR="00DB2531" w:rsidRDefault="00DB2531"/>
    <w:p w14:paraId="67CA5A40" w14:textId="77777777" w:rsidR="00DB2531" w:rsidRPr="00DB2531" w:rsidRDefault="00DB2531" w:rsidP="00DB2531">
      <w:pPr>
        <w:jc w:val="center"/>
        <w:rPr>
          <w:b/>
        </w:rPr>
      </w:pPr>
      <w:r w:rsidRPr="00DB2531">
        <w:rPr>
          <w:b/>
        </w:rPr>
        <w:t xml:space="preserve">Opening statement </w:t>
      </w:r>
    </w:p>
    <w:p w14:paraId="7E5CF431" w14:textId="2A79A661" w:rsidR="007975BA" w:rsidRDefault="007975BA" w:rsidP="00DE0D05"/>
    <w:p w14:paraId="17B05487" w14:textId="35A49AC0" w:rsidR="00935CCC" w:rsidRDefault="00935CCC" w:rsidP="00935CCC">
      <w:pPr>
        <w:spacing w:line="252" w:lineRule="auto"/>
        <w:rPr>
          <w:lang w:val="en-US"/>
        </w:rPr>
      </w:pPr>
      <w:r>
        <w:rPr>
          <w:b/>
          <w:bCs/>
          <w:lang w:val="en-US"/>
        </w:rPr>
        <w:t>Sally Mansfield</w:t>
      </w:r>
      <w:r w:rsidR="00DE0D05">
        <w:rPr>
          <w:b/>
          <w:bCs/>
          <w:lang w:val="en-US"/>
        </w:rPr>
        <w:t xml:space="preserve"> (in person) – 5</w:t>
      </w:r>
      <w:r w:rsidR="003D1D51">
        <w:rPr>
          <w:b/>
          <w:bCs/>
          <w:lang w:val="en-US"/>
        </w:rPr>
        <w:t xml:space="preserve"> </w:t>
      </w:r>
      <w:r w:rsidR="00280E39">
        <w:rPr>
          <w:b/>
          <w:bCs/>
          <w:lang w:val="en-US"/>
        </w:rPr>
        <w:t>min</w:t>
      </w:r>
      <w:r w:rsidR="00DE0D05">
        <w:rPr>
          <w:b/>
          <w:bCs/>
          <w:lang w:val="en-US"/>
        </w:rPr>
        <w:t>ute</w:t>
      </w:r>
      <w:r w:rsidR="00280E39">
        <w:rPr>
          <w:b/>
          <w:bCs/>
          <w:lang w:val="en-US"/>
        </w:rPr>
        <w:t>s</w:t>
      </w:r>
    </w:p>
    <w:p w14:paraId="3AEA5DFC" w14:textId="503E5503" w:rsidR="00D01AB1" w:rsidRDefault="001275E3" w:rsidP="00793160">
      <w:pPr>
        <w:spacing w:line="252" w:lineRule="auto"/>
      </w:pPr>
      <w:r>
        <w:t xml:space="preserve">Thank you Madam President. </w:t>
      </w:r>
    </w:p>
    <w:p w14:paraId="62A76F98" w14:textId="02503367" w:rsidR="001275E3" w:rsidRDefault="00793160" w:rsidP="00793160">
      <w:pPr>
        <w:spacing w:line="252" w:lineRule="auto"/>
      </w:pPr>
      <w:r>
        <w:t>Excell</w:t>
      </w:r>
      <w:r w:rsidR="001275E3">
        <w:t>encies, distinguished delegates, civil society representatives</w:t>
      </w:r>
      <w:r w:rsidR="00D01AB1">
        <w:t xml:space="preserve">, </w:t>
      </w:r>
      <w:r w:rsidR="001275E3">
        <w:t>Australia welcomes the opportunity to appear before the UPR Working Group. We thank you for your engagement.</w:t>
      </w:r>
    </w:p>
    <w:p w14:paraId="6BCA9643" w14:textId="4BB5CC23" w:rsidR="00CD3C9B" w:rsidRDefault="00CD3C9B" w:rsidP="00CD3C9B">
      <w:pPr>
        <w:spacing w:line="252" w:lineRule="auto"/>
      </w:pPr>
      <w:r>
        <w:t xml:space="preserve">Australia has a significant, longstanding commitment to human rights and </w:t>
      </w:r>
      <w:r w:rsidR="00B17DDD">
        <w:t xml:space="preserve">we </w:t>
      </w:r>
      <w:r w:rsidR="007B05A1">
        <w:t xml:space="preserve">approach </w:t>
      </w:r>
      <w:r>
        <w:t>our international obligations</w:t>
      </w:r>
      <w:r w:rsidR="007B05A1">
        <w:t xml:space="preserve"> with great seriousness</w:t>
      </w:r>
      <w:r>
        <w:t>.</w:t>
      </w:r>
    </w:p>
    <w:p w14:paraId="154B9F15" w14:textId="1B684A92" w:rsidR="00D01AB1" w:rsidRDefault="00D01AB1" w:rsidP="00793160">
      <w:pPr>
        <w:spacing w:line="252" w:lineRule="auto"/>
      </w:pPr>
      <w:r>
        <w:t>Australia was a founding member of the United Nations</w:t>
      </w:r>
      <w:r w:rsidR="004D78F0">
        <w:t>. We</w:t>
      </w:r>
      <w:r>
        <w:t xml:space="preserve"> played a significant role in the drafting of the Universal Declaration of Human Rights and ha</w:t>
      </w:r>
      <w:r w:rsidR="00280AEC">
        <w:t>ve</w:t>
      </w:r>
      <w:r>
        <w:t xml:space="preserve"> been an active participant </w:t>
      </w:r>
      <w:r w:rsidR="00D5694C">
        <w:t xml:space="preserve">in </w:t>
      </w:r>
      <w:r>
        <w:t>the negotiation of all of the major international human rights instruments.</w:t>
      </w:r>
    </w:p>
    <w:p w14:paraId="450072E1" w14:textId="18653874" w:rsidR="00D01AB1" w:rsidRDefault="00D01AB1" w:rsidP="00793160">
      <w:pPr>
        <w:spacing w:line="252" w:lineRule="auto"/>
      </w:pPr>
      <w:r>
        <w:t>Australia is proud of its long history of supporting international human rights institutions. In particular, Australia has been a strong supporter of the work of the Human Rights Council, most recently through our membership of the Council from 2018-</w:t>
      </w:r>
      <w:r w:rsidR="00B17DDD">
        <w:t>20</w:t>
      </w:r>
      <w:r>
        <w:t>20.</w:t>
      </w:r>
    </w:p>
    <w:p w14:paraId="22C070E1" w14:textId="5C917B2F" w:rsidR="004D78F0" w:rsidRDefault="004D78F0">
      <w:pPr>
        <w:spacing w:line="252" w:lineRule="auto"/>
      </w:pPr>
      <w:r>
        <w:t>Australia takes a proactive approach to</w:t>
      </w:r>
      <w:r w:rsidR="007B05A1">
        <w:t xml:space="preserve"> furthering</w:t>
      </w:r>
      <w:r>
        <w:t xml:space="preserve"> human rights and is accountable for the outcomes of this approach to the Australian people through our democratic system of government. </w:t>
      </w:r>
    </w:p>
    <w:p w14:paraId="7D6A4760" w14:textId="02A844EB" w:rsidR="00201059" w:rsidRDefault="004D78F0">
      <w:pPr>
        <w:spacing w:line="252" w:lineRule="auto"/>
      </w:pPr>
      <w:r>
        <w:t>W</w:t>
      </w:r>
      <w:r w:rsidR="00201059">
        <w:t xml:space="preserve">e welcome the UPR process as an opportunity for all UN Member States to reflect on their achievements, and the </w:t>
      </w:r>
      <w:r w:rsidR="00616483">
        <w:t>challenges</w:t>
      </w:r>
      <w:r w:rsidR="007B05A1">
        <w:t xml:space="preserve"> they face</w:t>
      </w:r>
      <w:r w:rsidR="00201059">
        <w:t xml:space="preserve">, in </w:t>
      </w:r>
      <w:r w:rsidR="007B05A1">
        <w:t xml:space="preserve">furthering </w:t>
      </w:r>
      <w:r w:rsidR="00201059">
        <w:t xml:space="preserve">the rights of their people. </w:t>
      </w:r>
    </w:p>
    <w:p w14:paraId="214701A4" w14:textId="610705D8" w:rsidR="00201059" w:rsidRPr="00683803" w:rsidRDefault="00751E62">
      <w:pPr>
        <w:spacing w:line="252" w:lineRule="auto"/>
        <w:rPr>
          <w:lang w:val="en-US"/>
        </w:rPr>
      </w:pPr>
      <w:r>
        <w:rPr>
          <w:lang w:val="en-US"/>
        </w:rPr>
        <w:t xml:space="preserve">Australia’s commitment to the UPR process is reflected in the </w:t>
      </w:r>
      <w:r w:rsidR="00201059">
        <w:rPr>
          <w:lang w:val="en-US"/>
        </w:rPr>
        <w:t>breadth and seniority of the</w:t>
      </w:r>
      <w:r>
        <w:rPr>
          <w:lang w:val="en-US"/>
        </w:rPr>
        <w:t xml:space="preserve"> delegation</w:t>
      </w:r>
      <w:r w:rsidR="00201059">
        <w:rPr>
          <w:lang w:val="en-US"/>
        </w:rPr>
        <w:t xml:space="preserve"> appearing before you this </w:t>
      </w:r>
      <w:r w:rsidR="00201059" w:rsidRPr="00683803">
        <w:rPr>
          <w:lang w:val="en-US"/>
        </w:rPr>
        <w:t>morning.</w:t>
      </w:r>
    </w:p>
    <w:p w14:paraId="4FA3DFFF" w14:textId="6C8E46BF" w:rsidR="00F97E53" w:rsidRDefault="00201059" w:rsidP="00616483">
      <w:pPr>
        <w:spacing w:line="252" w:lineRule="auto"/>
      </w:pPr>
      <w:r w:rsidRPr="00683803">
        <w:rPr>
          <w:lang w:val="en-US"/>
        </w:rPr>
        <w:t xml:space="preserve">I would </w:t>
      </w:r>
      <w:r w:rsidR="00616483">
        <w:rPr>
          <w:lang w:val="en-US"/>
        </w:rPr>
        <w:t xml:space="preserve">also </w:t>
      </w:r>
      <w:r w:rsidRPr="00683803">
        <w:rPr>
          <w:lang w:val="en-US"/>
        </w:rPr>
        <w:t xml:space="preserve">like to acknowledge the important role civil society plays in the UPR process and thank Australia’s vibrant civil society sector for their involvement in our review. </w:t>
      </w:r>
    </w:p>
    <w:p w14:paraId="26DD87F2" w14:textId="47DF5F22" w:rsidR="00D22F24" w:rsidRDefault="00E648E3" w:rsidP="00793160">
      <w:pPr>
        <w:spacing w:line="252" w:lineRule="auto"/>
      </w:pPr>
      <w:r>
        <w:t>Since our last UPR in 2015</w:t>
      </w:r>
      <w:r w:rsidR="00F97E53">
        <w:t xml:space="preserve">, </w:t>
      </w:r>
      <w:r w:rsidR="00D22F24">
        <w:t xml:space="preserve">Australia has </w:t>
      </w:r>
      <w:r>
        <w:t>continued to make</w:t>
      </w:r>
      <w:r w:rsidR="00D22F24">
        <w:t xml:space="preserve"> significant </w:t>
      </w:r>
      <w:r w:rsidR="00616483">
        <w:t xml:space="preserve">progress </w:t>
      </w:r>
      <w:r w:rsidR="00B92F73">
        <w:t>in the realisation of human rights</w:t>
      </w:r>
      <w:r>
        <w:t xml:space="preserve"> domestically</w:t>
      </w:r>
      <w:r w:rsidR="00D22F24">
        <w:t xml:space="preserve">. </w:t>
      </w:r>
    </w:p>
    <w:p w14:paraId="3E204551" w14:textId="551D01C0" w:rsidR="00935CCC" w:rsidRDefault="00E648E3" w:rsidP="00D22F24">
      <w:pPr>
        <w:spacing w:line="252" w:lineRule="auto"/>
        <w:rPr>
          <w:lang w:eastAsia="en-AU"/>
        </w:rPr>
      </w:pPr>
      <w:r>
        <w:t>In 2017, t</w:t>
      </w:r>
      <w:r w:rsidR="00A3431A" w:rsidRPr="00EF3BD7">
        <w:t xml:space="preserve">he Australian Government ratified the Optional Protocol to the Convention </w:t>
      </w:r>
      <w:r w:rsidR="00A3431A">
        <w:t>a</w:t>
      </w:r>
      <w:r w:rsidR="00A3431A" w:rsidRPr="00EF3BD7">
        <w:t>gainst Torture and Other Cruel, Inhuman or D</w:t>
      </w:r>
      <w:r w:rsidR="00A3431A">
        <w:t>e</w:t>
      </w:r>
      <w:r w:rsidR="00FA0CD4">
        <w:t xml:space="preserve">grading Treatment or Punishment. </w:t>
      </w:r>
      <w:r w:rsidR="00667CEE">
        <w:rPr>
          <w:lang w:eastAsia="en-AU"/>
        </w:rPr>
        <w:t>Australia’s federal, state and territory governments are now working to ensure effective implementation of the Optional Protocol</w:t>
      </w:r>
      <w:r w:rsidR="00A3431A">
        <w:rPr>
          <w:lang w:eastAsia="en-AU"/>
        </w:rPr>
        <w:t>.</w:t>
      </w:r>
    </w:p>
    <w:p w14:paraId="60C58B22" w14:textId="4C6B30CF" w:rsidR="0054351B" w:rsidRDefault="00FA0CD4" w:rsidP="00D22F24">
      <w:pPr>
        <w:spacing w:line="252" w:lineRule="auto"/>
      </w:pPr>
      <w:r>
        <w:t>In 2017, t</w:t>
      </w:r>
      <w:r w:rsidR="0054351B" w:rsidRPr="00552E67">
        <w:t xml:space="preserve">he Australian Parliament passed legislation to amend the </w:t>
      </w:r>
      <w:r w:rsidR="0054351B" w:rsidRPr="007600E2">
        <w:rPr>
          <w:i/>
        </w:rPr>
        <w:t>Marriage Act 1961</w:t>
      </w:r>
      <w:r w:rsidR="0054351B" w:rsidRPr="00552E67">
        <w:t xml:space="preserve"> to </w:t>
      </w:r>
      <w:r w:rsidR="0054351B">
        <w:t xml:space="preserve">allow same-sex </w:t>
      </w:r>
      <w:r w:rsidR="00667CEE">
        <w:t>couples to marry</w:t>
      </w:r>
      <w:r w:rsidR="0054351B" w:rsidRPr="00552E67">
        <w:t xml:space="preserve">. </w:t>
      </w:r>
    </w:p>
    <w:p w14:paraId="61553A87" w14:textId="0159BFB1" w:rsidR="00DE326A" w:rsidRDefault="00616483" w:rsidP="000E1469">
      <w:pPr>
        <w:spacing w:line="252" w:lineRule="auto"/>
      </w:pPr>
      <w:r w:rsidRPr="00D3442B">
        <w:t xml:space="preserve">The new National Agreement on Closing the Gap </w:t>
      </w:r>
      <w:r w:rsidR="002F56BE">
        <w:t xml:space="preserve">was </w:t>
      </w:r>
      <w:r w:rsidRPr="00D3442B">
        <w:t xml:space="preserve">negotiated and endorsed in 2020 between all levels of government and the Coalition of Aboriginal and Torres Strait Islander Peak Organisations. For the first time there is shared responsibility and shared accountability to close the gap. </w:t>
      </w:r>
    </w:p>
    <w:p w14:paraId="078C538A" w14:textId="4CF4317A" w:rsidR="003A6902" w:rsidRDefault="00CF24FC" w:rsidP="000E1469">
      <w:pPr>
        <w:spacing w:line="252" w:lineRule="auto"/>
      </w:pPr>
      <w:r>
        <w:rPr>
          <w:lang w:eastAsia="en-AU"/>
        </w:rPr>
        <w:t>T</w:t>
      </w:r>
      <w:r w:rsidR="00667CEE" w:rsidRPr="000E1469">
        <w:rPr>
          <w:lang w:eastAsia="en-AU"/>
        </w:rPr>
        <w:t xml:space="preserve">he </w:t>
      </w:r>
      <w:r w:rsidR="009C23C6" w:rsidRPr="000E1469">
        <w:rPr>
          <w:lang w:eastAsia="en-AU"/>
        </w:rPr>
        <w:t xml:space="preserve">Australian Government has also </w:t>
      </w:r>
      <w:r w:rsidR="0054351B" w:rsidRPr="000E1469">
        <w:rPr>
          <w:lang w:eastAsia="en-AU"/>
        </w:rPr>
        <w:t>progressively implement</w:t>
      </w:r>
      <w:r w:rsidR="009552EF">
        <w:rPr>
          <w:lang w:eastAsia="en-AU"/>
        </w:rPr>
        <w:t>ed</w:t>
      </w:r>
      <w:r w:rsidR="0054351B" w:rsidRPr="000E1469">
        <w:rPr>
          <w:lang w:eastAsia="en-AU"/>
        </w:rPr>
        <w:t xml:space="preserve"> the National Disability Insurance Scheme to improve support for Australians with significant and permanent disability, their families and carers. </w:t>
      </w:r>
      <w:r w:rsidR="00347599" w:rsidRPr="000E1469">
        <w:rPr>
          <w:lang w:eastAsia="en-AU"/>
        </w:rPr>
        <w:t>The Scheme represents a</w:t>
      </w:r>
      <w:r w:rsidR="003A6902" w:rsidRPr="000E1469">
        <w:rPr>
          <w:lang w:eastAsia="en-AU"/>
        </w:rPr>
        <w:t xml:space="preserve"> </w:t>
      </w:r>
      <w:r w:rsidR="002D3983" w:rsidRPr="000E1469">
        <w:rPr>
          <w:lang w:eastAsia="en-AU"/>
        </w:rPr>
        <w:t xml:space="preserve">step-change </w:t>
      </w:r>
      <w:r w:rsidR="00E648E3" w:rsidRPr="000E1469">
        <w:rPr>
          <w:lang w:eastAsia="en-AU"/>
        </w:rPr>
        <w:t>from previous approaches and</w:t>
      </w:r>
      <w:r w:rsidR="003A6902" w:rsidRPr="000E1469">
        <w:rPr>
          <w:lang w:eastAsia="en-AU"/>
        </w:rPr>
        <w:t xml:space="preserve"> aims to give people choic</w:t>
      </w:r>
      <w:r w:rsidR="003A6902">
        <w:t>e and control in the services and supports they engage to achieve their goals and aspirations.</w:t>
      </w:r>
    </w:p>
    <w:p w14:paraId="1EB69B1C" w14:textId="0BD3F0E5" w:rsidR="00982276" w:rsidRDefault="00982276" w:rsidP="00C83D0D">
      <w:pPr>
        <w:spacing w:line="252" w:lineRule="auto"/>
      </w:pPr>
      <w:r>
        <w:lastRenderedPageBreak/>
        <w:t xml:space="preserve">Internationally, </w:t>
      </w:r>
      <w:r w:rsidRPr="002C6ECF">
        <w:t xml:space="preserve">Australia </w:t>
      </w:r>
      <w:r>
        <w:t>has continued its strong advocacy</w:t>
      </w:r>
      <w:r w:rsidRPr="002C6ECF">
        <w:t xml:space="preserve"> for the global </w:t>
      </w:r>
      <w:r>
        <w:t xml:space="preserve">abolition of the death penalty and </w:t>
      </w:r>
      <w:r w:rsidR="00090429">
        <w:t>working with</w:t>
      </w:r>
      <w:r w:rsidR="00AB58D7">
        <w:t xml:space="preserve"> states in our region to promote human rights in</w:t>
      </w:r>
      <w:r>
        <w:t xml:space="preserve"> the </w:t>
      </w:r>
      <w:r w:rsidR="00CD3C9B">
        <w:t>Indo-</w:t>
      </w:r>
      <w:r>
        <w:t>Pacific.</w:t>
      </w:r>
    </w:p>
    <w:p w14:paraId="05DDF16F" w14:textId="3B5B3AE7" w:rsidR="007D3431" w:rsidRDefault="00E648E3" w:rsidP="002D3983">
      <w:pPr>
        <w:spacing w:line="252" w:lineRule="auto"/>
      </w:pPr>
      <w:r>
        <w:t>Today I have noted</w:t>
      </w:r>
      <w:r w:rsidR="003A6902">
        <w:t xml:space="preserve"> just some of the many achievements we have made. </w:t>
      </w:r>
      <w:r w:rsidR="002D3983">
        <w:t xml:space="preserve">While much has been achieved there is still much to do. </w:t>
      </w:r>
    </w:p>
    <w:p w14:paraId="11BEAE1D" w14:textId="1BD2ED15" w:rsidR="00090429" w:rsidRPr="00982276" w:rsidRDefault="00090429" w:rsidP="002D3983">
      <w:pPr>
        <w:spacing w:line="252" w:lineRule="auto"/>
        <w:rPr>
          <w:lang w:val="en"/>
        </w:rPr>
      </w:pPr>
      <w:r>
        <w:t>In closing, I thank the members of the Working Group again and look forward to our dialogue with all States.</w:t>
      </w:r>
    </w:p>
    <w:p w14:paraId="5B23CF50" w14:textId="3A91CD71" w:rsidR="007D3431" w:rsidRDefault="00875500" w:rsidP="00935CCC">
      <w:pPr>
        <w:spacing w:line="252" w:lineRule="auto"/>
      </w:pPr>
      <w:r>
        <w:t>Madam President, I would now like to invite</w:t>
      </w:r>
      <w:r w:rsidR="00CC394A">
        <w:t xml:space="preserve"> the head of delegation,</w:t>
      </w:r>
      <w:r>
        <w:t xml:space="preserve"> Mr Andrew Walter of the Attorney-General’s Department</w:t>
      </w:r>
      <w:r w:rsidR="00CC394A">
        <w:t>,</w:t>
      </w:r>
      <w:r>
        <w:t xml:space="preserve"> to </w:t>
      </w:r>
      <w:r w:rsidR="00D42297">
        <w:t xml:space="preserve">speak to </w:t>
      </w:r>
      <w:r w:rsidR="00356224">
        <w:t xml:space="preserve">Australia’s domestic human rights frameworks, </w:t>
      </w:r>
      <w:r w:rsidR="00D42297">
        <w:t>challenges</w:t>
      </w:r>
      <w:r w:rsidR="009552EF">
        <w:t>,</w:t>
      </w:r>
      <w:r w:rsidR="00D42297">
        <w:t xml:space="preserve"> and key priorities.</w:t>
      </w:r>
      <w:r w:rsidR="007D3431" w:rsidRPr="007D3431">
        <w:t xml:space="preserve"> </w:t>
      </w:r>
    </w:p>
    <w:p w14:paraId="6D70CB30" w14:textId="3B475A2D" w:rsidR="007975BA" w:rsidRPr="00FB524C" w:rsidRDefault="007975BA" w:rsidP="00935CCC">
      <w:pPr>
        <w:spacing w:line="252" w:lineRule="auto"/>
      </w:pPr>
    </w:p>
    <w:p w14:paraId="605C9393" w14:textId="74981499" w:rsidR="00935CCC" w:rsidRDefault="00935CCC" w:rsidP="00935CCC">
      <w:pPr>
        <w:spacing w:line="252" w:lineRule="auto"/>
        <w:rPr>
          <w:b/>
          <w:bCs/>
          <w:lang w:val="en-US"/>
        </w:rPr>
      </w:pPr>
      <w:r>
        <w:rPr>
          <w:b/>
          <w:bCs/>
          <w:lang w:val="en-US"/>
        </w:rPr>
        <w:t>Andrew Walter</w:t>
      </w:r>
      <w:r w:rsidR="00DE0D05">
        <w:rPr>
          <w:b/>
          <w:bCs/>
          <w:lang w:val="en-US"/>
        </w:rPr>
        <w:t xml:space="preserve"> (Webex) – 9</w:t>
      </w:r>
      <w:r w:rsidR="00511379">
        <w:rPr>
          <w:b/>
          <w:bCs/>
          <w:lang w:val="en-US"/>
        </w:rPr>
        <w:t xml:space="preserve"> </w:t>
      </w:r>
      <w:r w:rsidR="00280E39">
        <w:rPr>
          <w:b/>
          <w:bCs/>
          <w:lang w:val="en-US"/>
        </w:rPr>
        <w:t>minutes</w:t>
      </w:r>
    </w:p>
    <w:p w14:paraId="4D8CC1C2" w14:textId="4726E9E2" w:rsidR="002D3983" w:rsidRDefault="0088408C" w:rsidP="00507B33">
      <w:r>
        <w:t>Madam President, Excellencies, distinguished delegates, civil society representatives</w:t>
      </w:r>
      <w:r w:rsidR="002D3983">
        <w:t xml:space="preserve">. I am speaking to you today from </w:t>
      </w:r>
      <w:r w:rsidR="003A26B4">
        <w:t>Ngunawal</w:t>
      </w:r>
      <w:r w:rsidR="002D3983">
        <w:t xml:space="preserve"> country and pay my respects to their elders past, present and emerging.</w:t>
      </w:r>
    </w:p>
    <w:p w14:paraId="04A9C047" w14:textId="72490DF3" w:rsidR="002D3983" w:rsidRDefault="00CF4DFC" w:rsidP="00507B33">
      <w:r>
        <w:t>Australia has a strong institu</w:t>
      </w:r>
      <w:r w:rsidR="00347599">
        <w:t>tional framework</w:t>
      </w:r>
      <w:r w:rsidR="002D3983">
        <w:t xml:space="preserve"> for protecting and advancing human rights</w:t>
      </w:r>
      <w:r w:rsidR="0090038B">
        <w:t>,</w:t>
      </w:r>
      <w:r w:rsidR="002D3983">
        <w:t xml:space="preserve"> built o</w:t>
      </w:r>
      <w:r w:rsidR="009552EF">
        <w:t>n</w:t>
      </w:r>
      <w:r w:rsidR="002D3983">
        <w:t xml:space="preserve"> the core foundation of representative democracy and the rule of law. </w:t>
      </w:r>
    </w:p>
    <w:p w14:paraId="2F0C787C" w14:textId="4AD4C0B8" w:rsidR="00AD28B7" w:rsidRDefault="00AD28B7" w:rsidP="00507B33">
      <w:r w:rsidRPr="002C6ECF">
        <w:t xml:space="preserve">As a federation, responsibility for implementation of Australia’s human rights obligations is </w:t>
      </w:r>
      <w:r>
        <w:t xml:space="preserve">shared by </w:t>
      </w:r>
      <w:r w:rsidRPr="002C6ECF">
        <w:t>federal</w:t>
      </w:r>
      <w:r>
        <w:t>,</w:t>
      </w:r>
      <w:r w:rsidRPr="002C6ECF">
        <w:t xml:space="preserve"> state and territory governments. </w:t>
      </w:r>
      <w:r>
        <w:t>E</w:t>
      </w:r>
      <w:r w:rsidRPr="002C6ECF">
        <w:t>ach of these jurisdiction</w:t>
      </w:r>
      <w:r>
        <w:t>s enjoys a robust</w:t>
      </w:r>
      <w:r w:rsidRPr="002C6ECF">
        <w:t xml:space="preserve"> </w:t>
      </w:r>
      <w:r>
        <w:t xml:space="preserve">rights-protecting </w:t>
      </w:r>
      <w:r w:rsidRPr="002C6ECF">
        <w:t>framework of laws and institutions includ</w:t>
      </w:r>
      <w:r>
        <w:t>ing</w:t>
      </w:r>
      <w:r w:rsidRPr="002C6ECF">
        <w:t xml:space="preserve"> an independent judiciary, statutory oversight mechanisms and </w:t>
      </w:r>
      <w:r>
        <w:t xml:space="preserve">independent </w:t>
      </w:r>
      <w:r w:rsidRPr="002C6ECF">
        <w:t>human rights commissions.</w:t>
      </w:r>
    </w:p>
    <w:p w14:paraId="58ABE569" w14:textId="6C7438B5" w:rsidR="00D72C08" w:rsidRDefault="00B41397" w:rsidP="00507B33">
      <w:r>
        <w:t xml:space="preserve">Australia </w:t>
      </w:r>
      <w:r w:rsidR="00580B3F">
        <w:t xml:space="preserve">is a </w:t>
      </w:r>
      <w:r>
        <w:t xml:space="preserve">vibrant </w:t>
      </w:r>
      <w:r w:rsidR="00580B3F">
        <w:t xml:space="preserve">liberal democracy where public debate and dissent is welcomed. </w:t>
      </w:r>
      <w:r w:rsidR="00C15BF5">
        <w:t xml:space="preserve">The Australian Government values the </w:t>
      </w:r>
      <w:r w:rsidR="007B05A1">
        <w:t xml:space="preserve">vital contribution </w:t>
      </w:r>
      <w:r w:rsidR="00C15BF5">
        <w:t>of civil society</w:t>
      </w:r>
      <w:r w:rsidR="004C1AD1">
        <w:t>,</w:t>
      </w:r>
      <w:r w:rsidR="00C15BF5">
        <w:t xml:space="preserve"> which acts to support and uphold Australia’s human rights protections.</w:t>
      </w:r>
      <w:r w:rsidR="00697F8B" w:rsidRPr="00697F8B">
        <w:t xml:space="preserve"> Different views, and the ability to express them freely, are </w:t>
      </w:r>
      <w:r w:rsidR="0090038B">
        <w:t xml:space="preserve">essential </w:t>
      </w:r>
      <w:r w:rsidR="00580B3F">
        <w:t>in any free society</w:t>
      </w:r>
      <w:r w:rsidR="00697F8B" w:rsidRPr="00697F8B">
        <w:t xml:space="preserve">. </w:t>
      </w:r>
    </w:p>
    <w:p w14:paraId="49F0A6F3" w14:textId="55F3ADED" w:rsidR="00336EB4" w:rsidRDefault="004C1AD1" w:rsidP="00507B33">
      <w:r>
        <w:t>However</w:t>
      </w:r>
      <w:r w:rsidR="00122481">
        <w:t xml:space="preserve"> Australia, like any country, has room for improvement. </w:t>
      </w:r>
    </w:p>
    <w:p w14:paraId="4963A57C" w14:textId="4758AD84" w:rsidR="00C15BF5" w:rsidRDefault="008B7412" w:rsidP="00507B33">
      <w:r>
        <w:t xml:space="preserve">A particular </w:t>
      </w:r>
      <w:r w:rsidR="00AD28B7">
        <w:t xml:space="preserve">concern in </w:t>
      </w:r>
      <w:r>
        <w:t xml:space="preserve">Australia over the past five years has been the </w:t>
      </w:r>
      <w:r w:rsidR="00AD28B7">
        <w:t>mis</w:t>
      </w:r>
      <w:r>
        <w:t xml:space="preserve">treatment of our most vulnerable people – children, people with disability and the elderly – by institutions established for </w:t>
      </w:r>
      <w:r w:rsidRPr="00CC394A">
        <w:t xml:space="preserve">their welfare. </w:t>
      </w:r>
      <w:r w:rsidR="00501911" w:rsidRPr="00CC394A">
        <w:rPr>
          <w:bCs/>
        </w:rPr>
        <w:t xml:space="preserve">The Government has established </w:t>
      </w:r>
      <w:r w:rsidR="007B05A1">
        <w:rPr>
          <w:bCs/>
        </w:rPr>
        <w:t>a series of</w:t>
      </w:r>
      <w:r w:rsidR="007B05A1" w:rsidRPr="00CC394A">
        <w:rPr>
          <w:bCs/>
        </w:rPr>
        <w:t xml:space="preserve"> </w:t>
      </w:r>
      <w:r w:rsidR="00501911" w:rsidRPr="00CC394A">
        <w:rPr>
          <w:bCs/>
        </w:rPr>
        <w:t>Royal Commissions inquiring into these issues. Royal Commissions are independent of Government and are Australia’s highest form of inquiry</w:t>
      </w:r>
      <w:r w:rsidR="007B05A1">
        <w:rPr>
          <w:bCs/>
        </w:rPr>
        <w:t xml:space="preserve">. They are given extraordinary powers and are only established to </w:t>
      </w:r>
      <w:r w:rsidR="00501911" w:rsidRPr="00CC394A">
        <w:rPr>
          <w:bCs/>
        </w:rPr>
        <w:t>investigat</w:t>
      </w:r>
      <w:r w:rsidR="007B05A1">
        <w:rPr>
          <w:bCs/>
        </w:rPr>
        <w:t>e</w:t>
      </w:r>
      <w:r w:rsidR="00501911" w:rsidRPr="00CC394A">
        <w:rPr>
          <w:bCs/>
        </w:rPr>
        <w:t xml:space="preserve"> matters of </w:t>
      </w:r>
      <w:r w:rsidR="007B05A1">
        <w:rPr>
          <w:bCs/>
        </w:rPr>
        <w:t xml:space="preserve">the highest </w:t>
      </w:r>
      <w:r w:rsidR="00501911" w:rsidRPr="00CC394A">
        <w:rPr>
          <w:bCs/>
        </w:rPr>
        <w:t xml:space="preserve">importance. </w:t>
      </w:r>
      <w:r>
        <w:t xml:space="preserve">The Government </w:t>
      </w:r>
      <w:r w:rsidR="007B05A1">
        <w:t>is</w:t>
      </w:r>
      <w:r>
        <w:t xml:space="preserve"> implement</w:t>
      </w:r>
      <w:r w:rsidR="007B05A1">
        <w:t>ing</w:t>
      </w:r>
      <w:r>
        <w:t xml:space="preserve"> recommendations from the Royal Commissions into Institutional Responses to Child Sexual Abuse and the Protection and Detention of Children in the Northern Territory, which both concluded in 2017. T</w:t>
      </w:r>
      <w:r w:rsidR="00336EB4">
        <w:t xml:space="preserve">he Australian Government established </w:t>
      </w:r>
      <w:r w:rsidR="00665C98">
        <w:t>the Royal Commission into Aged Care Quality and Safety in 2018</w:t>
      </w:r>
      <w:r w:rsidR="00511379">
        <w:t>,</w:t>
      </w:r>
      <w:r w:rsidR="00665C98">
        <w:t xml:space="preserve"> and the Royal Commission into Violence, Abuse, Neglect and Exploitation of People with Disability in 2019.</w:t>
      </w:r>
      <w:r>
        <w:t xml:space="preserve"> These Royal Commissions </w:t>
      </w:r>
      <w:r w:rsidR="001578FE">
        <w:t xml:space="preserve">are due to </w:t>
      </w:r>
      <w:r w:rsidR="009712C1">
        <w:t xml:space="preserve">provide their final </w:t>
      </w:r>
      <w:r>
        <w:t>report</w:t>
      </w:r>
      <w:r w:rsidR="009712C1">
        <w:t>s</w:t>
      </w:r>
      <w:r>
        <w:t xml:space="preserve"> in </w:t>
      </w:r>
      <w:r w:rsidR="009712C1">
        <w:t>2021 and 2022 respectively.</w:t>
      </w:r>
    </w:p>
    <w:p w14:paraId="49A20DB4" w14:textId="6B763263" w:rsidR="007B05A1" w:rsidRDefault="007B05A1" w:rsidP="007B05A1">
      <w:r>
        <w:t xml:space="preserve">As has been raised by a number of countries in the advance questions, challenges remain in relation to improving the lives of Indigenous Australians and reducing the </w:t>
      </w:r>
      <w:r w:rsidRPr="00AB58D7">
        <w:t>overrepresentation of Indigenous Australians, including children, in the criminal justice system. Acknowledging this, the Australian Government has commenced a formal partnership with Aboriginal and Torres Strait</w:t>
      </w:r>
      <w:r>
        <w:t xml:space="preserve"> Islander people as part of the </w:t>
      </w:r>
      <w:r w:rsidRPr="000B771A">
        <w:t>National Agreement</w:t>
      </w:r>
      <w:r>
        <w:t xml:space="preserve"> on Closing the Gap. </w:t>
      </w:r>
    </w:p>
    <w:p w14:paraId="4ED63435" w14:textId="16F9510B" w:rsidR="00715BAB" w:rsidRDefault="00715BAB" w:rsidP="00507B33">
      <w:r>
        <w:lastRenderedPageBreak/>
        <w:t>Despite</w:t>
      </w:r>
      <w:r w:rsidR="009712C1">
        <w:t xml:space="preserve"> significant</w:t>
      </w:r>
      <w:r>
        <w:t xml:space="preserve"> national efforts, family, domestic and sexual violence remains at rates that the A</w:t>
      </w:r>
      <w:r w:rsidR="007B7149">
        <w:t>ustralian Government considers</w:t>
      </w:r>
      <w:r>
        <w:t xml:space="preserve"> unacceptabl</w:t>
      </w:r>
      <w:r w:rsidR="00881083">
        <w:t>e</w:t>
      </w:r>
      <w:r>
        <w:t xml:space="preserve">. </w:t>
      </w:r>
      <w:r w:rsidR="004525F5">
        <w:t>We continue to work to address this, w</w:t>
      </w:r>
      <w:r>
        <w:t>ith recognition of the diverse lived experience</w:t>
      </w:r>
      <w:r w:rsidR="0080313F">
        <w:t>s</w:t>
      </w:r>
      <w:r>
        <w:t xml:space="preserve"> of women </w:t>
      </w:r>
      <w:r w:rsidR="0080313F">
        <w:t>and their children affected by violence</w:t>
      </w:r>
      <w:r w:rsidR="004525F5">
        <w:t>.</w:t>
      </w:r>
      <w:r>
        <w:t xml:space="preserve"> </w:t>
      </w:r>
    </w:p>
    <w:p w14:paraId="35EEE39D" w14:textId="69A85DA9" w:rsidR="00982276" w:rsidRDefault="00A51BEB" w:rsidP="00982276">
      <w:r w:rsidRPr="00A51BEB">
        <w:t>I would like to take this opportunity to express the Australian Government’s deep concern at the findings of the Inspector-General of the Australian Defence Force Afghanistan Inquiry. The findings are very serious and the Australian Government will ensure a comprehensive response is implemented by the Department of Defence, including by establishing a high level, independent Oversight Panel. The Australian Government has acted quickly to establish a new independent entity, the Office of the Special Investigator, to address the potential criminal matters raised and to investigate the allegations and refer for prosecution where necessary. Australia is committed to the rule of law, including a commitment to human rights and the Law of Armed Conflict.</w:t>
      </w:r>
    </w:p>
    <w:p w14:paraId="0D2C46E6" w14:textId="030F7D9D" w:rsidR="009712C1" w:rsidRDefault="000D5030" w:rsidP="00507B33">
      <w:r>
        <w:t>Madam President, Excellencies, in the last year, the COVID-19 pandemic has had a significant impact on human rights across the globe</w:t>
      </w:r>
      <w:r w:rsidR="00DD4E60">
        <w:t xml:space="preserve">. </w:t>
      </w:r>
      <w:r w:rsidR="000F4F6F">
        <w:t>The Australian Government’s response has prioritised the health and safety of all Australians, promoting the rights to health and life</w:t>
      </w:r>
      <w:r w:rsidR="00DD4E60">
        <w:t xml:space="preserve">. The response has included </w:t>
      </w:r>
      <w:r w:rsidR="000F4F6F">
        <w:t xml:space="preserve">targeted </w:t>
      </w:r>
      <w:r w:rsidR="00DD4E60">
        <w:t xml:space="preserve">supports and </w:t>
      </w:r>
      <w:r w:rsidR="000F4F6F">
        <w:t>protections for the most vulnerable</w:t>
      </w:r>
      <w:r w:rsidR="00DD4E60">
        <w:t xml:space="preserve">. </w:t>
      </w:r>
      <w:r w:rsidR="00EF2E0D" w:rsidRPr="009360A0">
        <w:t>Australia continues to closely monitor and respond to issues as they arise in a manner that is consistent with human rights.</w:t>
      </w:r>
      <w:r w:rsidR="00EF2E0D">
        <w:t xml:space="preserve"> </w:t>
      </w:r>
    </w:p>
    <w:p w14:paraId="6496A1C9" w14:textId="0C5EDC9D" w:rsidR="00DD4E60" w:rsidRDefault="00DD4E60" w:rsidP="00507B33">
      <w:r>
        <w:t xml:space="preserve">Where </w:t>
      </w:r>
      <w:r w:rsidR="00AA75E1">
        <w:t xml:space="preserve">measures </w:t>
      </w:r>
      <w:r w:rsidR="009712C1">
        <w:t xml:space="preserve">taken in response to the pandemic have </w:t>
      </w:r>
      <w:r w:rsidR="00AA75E1">
        <w:t>impact</w:t>
      </w:r>
      <w:r w:rsidR="009712C1">
        <w:t>ed</w:t>
      </w:r>
      <w:r w:rsidR="00AA75E1">
        <w:t xml:space="preserve"> other</w:t>
      </w:r>
      <w:r>
        <w:t xml:space="preserve"> rights, these measures have been </w:t>
      </w:r>
      <w:r w:rsidR="00AA75E1">
        <w:t xml:space="preserve">informed by medical advice and </w:t>
      </w:r>
      <w:r>
        <w:t xml:space="preserve">tailored to ensure </w:t>
      </w:r>
      <w:r w:rsidR="00AA75E1">
        <w:t xml:space="preserve">that rights are only limited to the extent necessary to contain the virus. </w:t>
      </w:r>
    </w:p>
    <w:p w14:paraId="51E31ACB" w14:textId="77777777" w:rsidR="00EF2E0D" w:rsidRDefault="00AA75E1" w:rsidP="00D42297">
      <w:r>
        <w:t>T</w:t>
      </w:r>
      <w:r w:rsidR="008E665B">
        <w:t xml:space="preserve">he Australian Government </w:t>
      </w:r>
      <w:r>
        <w:t xml:space="preserve">remains focused on </w:t>
      </w:r>
      <w:r w:rsidR="009712C1">
        <w:t xml:space="preserve">containing, and recovering from, </w:t>
      </w:r>
      <w:r w:rsidR="008E665B">
        <w:t xml:space="preserve">the </w:t>
      </w:r>
      <w:r w:rsidR="00982276">
        <w:t>COVID-19 pandemic</w:t>
      </w:r>
      <w:r w:rsidR="009712C1">
        <w:t xml:space="preserve"> </w:t>
      </w:r>
      <w:r>
        <w:t xml:space="preserve">as a top priority. </w:t>
      </w:r>
    </w:p>
    <w:p w14:paraId="653A4D2E" w14:textId="36F9C7E5" w:rsidR="00372F64" w:rsidRDefault="00A967AD" w:rsidP="00D42297">
      <w:r>
        <w:t xml:space="preserve">With that, I am now very pleased to inform the Working Group of </w:t>
      </w:r>
      <w:r w:rsidR="00372F64">
        <w:t>Australia’s voluntary commitments</w:t>
      </w:r>
      <w:r>
        <w:t xml:space="preserve"> for this cycle</w:t>
      </w:r>
      <w:r w:rsidR="00CC394A">
        <w:t>.</w:t>
      </w:r>
    </w:p>
    <w:p w14:paraId="0C810C9C" w14:textId="27766F83" w:rsidR="00372F64" w:rsidRDefault="00CC394A" w:rsidP="00CC394A">
      <w:r w:rsidRPr="00CC394A">
        <w:rPr>
          <w:b/>
        </w:rPr>
        <w:t>First</w:t>
      </w:r>
      <w:r>
        <w:t>, t</w:t>
      </w:r>
      <w:r w:rsidR="00372F64">
        <w:t>he Australian Government commits to a new National Disability Strategy (2021-2030) that enables people with disability to fulfil their potential as equal members of the community.</w:t>
      </w:r>
    </w:p>
    <w:p w14:paraId="7FDCBDAE" w14:textId="0A442197" w:rsidR="00372F64" w:rsidRDefault="00372F64" w:rsidP="00CC394A">
      <w:r>
        <w:t>The Strategy will continue to be the primary mechanism through which Australia implements its obligations under the Convention on the Rights of Persons with Disabilities.</w:t>
      </w:r>
    </w:p>
    <w:p w14:paraId="420E8C3B" w14:textId="5265B598" w:rsidR="00372F64" w:rsidRDefault="00372F64" w:rsidP="00CC394A">
      <w:r>
        <w:t>The Strategy will be informed by the 2019 Concluding Observations from that Committee as well as extensive consultation with people with disability, their families, carers, advocacy organisations, peak bodies and service providers.</w:t>
      </w:r>
    </w:p>
    <w:p w14:paraId="20789446" w14:textId="76C0AB26" w:rsidR="00372F64" w:rsidRDefault="00CC394A" w:rsidP="00CC394A">
      <w:r w:rsidRPr="00CC394A">
        <w:rPr>
          <w:b/>
        </w:rPr>
        <w:t>Second</w:t>
      </w:r>
      <w:r>
        <w:t>, t</w:t>
      </w:r>
      <w:r w:rsidR="00372F64">
        <w:t>he Australian Government has an ongoing commitment to support older Australians to live in their own homes, reduce waiting times for home care packages and connect older Australians to essential care sooner.</w:t>
      </w:r>
    </w:p>
    <w:p w14:paraId="4977FAD8" w14:textId="6131B6D1" w:rsidR="00372F64" w:rsidRDefault="00372F64" w:rsidP="00CC394A">
      <w:r>
        <w:t>The Australian Government commits to enabling access to home-based aged care services. 99 percent of people who have applied for a Home Care Package have been offered care in their home. This commitment has included the release of almost 50,000 packages, at a cost of $3.3 billion, funded since the Aged Care Royal Commission's interim report was handed down on 31 October 2019.</w:t>
      </w:r>
    </w:p>
    <w:p w14:paraId="037EB499" w14:textId="0DCC0F42" w:rsidR="00CC394A" w:rsidRDefault="00CC394A" w:rsidP="00CC394A">
      <w:pPr>
        <w:spacing w:before="200" w:after="200"/>
      </w:pPr>
      <w:r w:rsidRPr="00DE0D05">
        <w:rPr>
          <w:b/>
        </w:rPr>
        <w:t>Third</w:t>
      </w:r>
      <w:r>
        <w:t xml:space="preserve">, the Australian Government commits to developing a new National Plan to continue efforts in reducing violence against women and children beyond 2022. </w:t>
      </w:r>
    </w:p>
    <w:p w14:paraId="5629236A" w14:textId="77777777" w:rsidR="00CC394A" w:rsidRDefault="00CC394A" w:rsidP="00CC394A">
      <w:r>
        <w:lastRenderedPageBreak/>
        <w:t>The new plan will build on learnings from the current Fourth Action Plan of the National Plan to Reduce Violence against Women and their Children 2010-2022, and from listening and responding to the diverse lived experience and knowledge of women and children affected by violence.</w:t>
      </w:r>
    </w:p>
    <w:p w14:paraId="7EC76D77" w14:textId="51EC14EC" w:rsidR="00372F64" w:rsidRDefault="00667818" w:rsidP="00CC394A">
      <w:r>
        <w:rPr>
          <w:b/>
        </w:rPr>
        <w:t>Fourth</w:t>
      </w:r>
      <w:r w:rsidR="00CC394A">
        <w:t>, t</w:t>
      </w:r>
      <w:r w:rsidR="00372F64">
        <w:t xml:space="preserve">he Australian Government commits to working in partnership with Aboriginal and Torres Strait Islander Australians on decisions that affect them. </w:t>
      </w:r>
    </w:p>
    <w:p w14:paraId="6AF68E65" w14:textId="43BF5EB3" w:rsidR="00372F64" w:rsidRDefault="00372F64" w:rsidP="00CC394A">
      <w:r>
        <w:t>The Government commits to embedding this partnership approach through the co design of options and models for an Indigenous voice and sharing decision making on Closing the Gap through a Partnership Agreement with the Coalition of Aboriginal and Torres Strait Islander community-controlled peak organisations.</w:t>
      </w:r>
    </w:p>
    <w:p w14:paraId="153A2B0B" w14:textId="66AE2F5E" w:rsidR="00372F64" w:rsidRDefault="00CC394A" w:rsidP="00CC394A">
      <w:r>
        <w:rPr>
          <w:b/>
        </w:rPr>
        <w:t>Finally</w:t>
      </w:r>
      <w:r>
        <w:t>, t</w:t>
      </w:r>
      <w:r w:rsidR="00372F64">
        <w:t xml:space="preserve">he Australian Government commits to continue to work towards a referendum to recognise Aboriginal and Torres Strait Islander Australians in the Australian Constitution. </w:t>
      </w:r>
    </w:p>
    <w:p w14:paraId="1152CF65" w14:textId="7392134B" w:rsidR="00372F64" w:rsidRDefault="00372F64" w:rsidP="00CC394A">
      <w:r>
        <w:t>The Australian Government commits to a Referendum to recognise Aboriginal and Torres Strait Islanders in the constitution and will support a Referendum when it has the best chance of succeeding.</w:t>
      </w:r>
    </w:p>
    <w:p w14:paraId="03569374" w14:textId="435C1319" w:rsidR="00CB102A" w:rsidRDefault="00CB102A" w:rsidP="00CB102A">
      <w:pPr>
        <w:rPr>
          <w:rFonts w:cstheme="minorHAnsi"/>
        </w:rPr>
      </w:pPr>
      <w:r>
        <w:t>Madam President</w:t>
      </w:r>
      <w:r w:rsidRPr="00A669D1">
        <w:rPr>
          <w:rFonts w:cstheme="minorHAnsi"/>
        </w:rPr>
        <w:t xml:space="preserve">, I would like to again </w:t>
      </w:r>
      <w:r>
        <w:rPr>
          <w:rFonts w:cstheme="minorHAnsi"/>
        </w:rPr>
        <w:t xml:space="preserve">thank </w:t>
      </w:r>
      <w:r w:rsidRPr="00A669D1">
        <w:rPr>
          <w:rFonts w:cstheme="minorHAnsi"/>
        </w:rPr>
        <w:t>all members who are participating in this revie</w:t>
      </w:r>
      <w:r>
        <w:rPr>
          <w:rFonts w:cstheme="minorHAnsi"/>
        </w:rPr>
        <w:t>w and welcome your statements and recommendations</w:t>
      </w:r>
      <w:r w:rsidRPr="00A669D1">
        <w:rPr>
          <w:rFonts w:cstheme="minorHAnsi"/>
        </w:rPr>
        <w:t>. The delegation will attempt to respond to issues raised to the extent possible in the time available.</w:t>
      </w:r>
      <w:r>
        <w:rPr>
          <w:rFonts w:cstheme="minorHAnsi"/>
        </w:rPr>
        <w:t xml:space="preserve"> Thank you.</w:t>
      </w:r>
    </w:p>
    <w:p w14:paraId="38FAE211" w14:textId="77777777" w:rsidR="00D5694C" w:rsidRDefault="00D5694C" w:rsidP="00D5694C">
      <w:bookmarkStart w:id="0" w:name="_GoBack"/>
      <w:bookmarkEnd w:id="0"/>
    </w:p>
    <w:sectPr w:rsidR="00D569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9B8DC" w14:textId="77777777" w:rsidR="006C43AA" w:rsidRDefault="006C43AA" w:rsidP="00A3431A">
      <w:pPr>
        <w:spacing w:after="0" w:line="240" w:lineRule="auto"/>
      </w:pPr>
      <w:r>
        <w:separator/>
      </w:r>
    </w:p>
  </w:endnote>
  <w:endnote w:type="continuationSeparator" w:id="0">
    <w:p w14:paraId="0D243FCF" w14:textId="77777777" w:rsidR="006C43AA" w:rsidRDefault="006C43AA" w:rsidP="00A34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Xihei">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92CB5" w14:textId="77777777" w:rsidR="006C43AA" w:rsidRDefault="006C43AA" w:rsidP="00A3431A">
      <w:pPr>
        <w:spacing w:after="0" w:line="240" w:lineRule="auto"/>
      </w:pPr>
      <w:r>
        <w:separator/>
      </w:r>
    </w:p>
  </w:footnote>
  <w:footnote w:type="continuationSeparator" w:id="0">
    <w:p w14:paraId="0CCD2082" w14:textId="77777777" w:rsidR="006C43AA" w:rsidRDefault="006C43AA" w:rsidP="00A343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D32"/>
    <w:multiLevelType w:val="multilevel"/>
    <w:tmpl w:val="D01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56427"/>
    <w:multiLevelType w:val="multilevel"/>
    <w:tmpl w:val="D56C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71D21"/>
    <w:multiLevelType w:val="hybridMultilevel"/>
    <w:tmpl w:val="6E0668E4"/>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7E87588"/>
    <w:multiLevelType w:val="hybridMultilevel"/>
    <w:tmpl w:val="96FA5C66"/>
    <w:lvl w:ilvl="0" w:tplc="0C09000F">
      <w:start w:val="1"/>
      <w:numFmt w:val="decimal"/>
      <w:lvlText w:val="%1."/>
      <w:lvlJc w:val="left"/>
      <w:pPr>
        <w:ind w:left="720" w:hanging="360"/>
      </w:pPr>
    </w:lvl>
    <w:lvl w:ilvl="1" w:tplc="11F4FE3A">
      <w:numFmt w:val="bullet"/>
      <w:lvlText w:val="·"/>
      <w:lvlJc w:val="left"/>
      <w:pPr>
        <w:ind w:left="1440" w:hanging="360"/>
      </w:pPr>
      <w:rPr>
        <w:rFonts w:ascii="Arial" w:eastAsia="STXihei" w:hAnsi="Arial" w:cs="Aria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56F6998"/>
    <w:multiLevelType w:val="multilevel"/>
    <w:tmpl w:val="705E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D6809"/>
    <w:multiLevelType w:val="hybridMultilevel"/>
    <w:tmpl w:val="51302600"/>
    <w:lvl w:ilvl="0" w:tplc="21C85B16">
      <w:start w:val="1"/>
      <w:numFmt w:val="decimal"/>
      <w:pStyle w:val="UPRReportbody"/>
      <w:lvlText w:val="%1."/>
      <w:lvlJc w:val="left"/>
      <w:pPr>
        <w:ind w:left="644" w:hanging="360"/>
      </w:pPr>
      <w:rPr>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C5E7ABA"/>
    <w:multiLevelType w:val="hybridMultilevel"/>
    <w:tmpl w:val="13983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1C61CB"/>
    <w:multiLevelType w:val="hybridMultilevel"/>
    <w:tmpl w:val="4D66AA2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1545B86"/>
    <w:multiLevelType w:val="hybridMultilevel"/>
    <w:tmpl w:val="17FA3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5E41D6"/>
    <w:multiLevelType w:val="multilevel"/>
    <w:tmpl w:val="D2CA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F15C83"/>
    <w:multiLevelType w:val="hybridMultilevel"/>
    <w:tmpl w:val="CFA0EA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353D24A9"/>
    <w:multiLevelType w:val="hybridMultilevel"/>
    <w:tmpl w:val="5B9030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6396ABC"/>
    <w:multiLevelType w:val="hybridMultilevel"/>
    <w:tmpl w:val="F886D898"/>
    <w:lvl w:ilvl="0" w:tplc="BD20F942">
      <w:start w:val="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B97920"/>
    <w:multiLevelType w:val="hybridMultilevel"/>
    <w:tmpl w:val="A76EC820"/>
    <w:lvl w:ilvl="0" w:tplc="EF4030E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A068BA"/>
    <w:multiLevelType w:val="hybridMultilevel"/>
    <w:tmpl w:val="F2E85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BA338B"/>
    <w:multiLevelType w:val="hybridMultilevel"/>
    <w:tmpl w:val="48F44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8A75A6"/>
    <w:multiLevelType w:val="hybridMultilevel"/>
    <w:tmpl w:val="5922F0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66D96CD0"/>
    <w:multiLevelType w:val="hybridMultilevel"/>
    <w:tmpl w:val="103C23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E92AE9"/>
    <w:multiLevelType w:val="hybridMultilevel"/>
    <w:tmpl w:val="F1E81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5500F6"/>
    <w:multiLevelType w:val="multilevel"/>
    <w:tmpl w:val="050A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007BD6"/>
    <w:multiLevelType w:val="hybridMultilevel"/>
    <w:tmpl w:val="E5A8E07E"/>
    <w:lvl w:ilvl="0" w:tplc="034E182A">
      <w:start w:val="1"/>
      <w:numFmt w:val="bullet"/>
      <w:lvlText w:val=""/>
      <w:lvlJc w:val="left"/>
      <w:pPr>
        <w:ind w:left="7200" w:hanging="360"/>
      </w:pPr>
      <w:rPr>
        <w:rFonts w:ascii="Symbol" w:hAnsi="Symbol" w:hint="default"/>
      </w:rPr>
    </w:lvl>
    <w:lvl w:ilvl="1" w:tplc="0C090003">
      <w:start w:val="1"/>
      <w:numFmt w:val="bullet"/>
      <w:lvlText w:val="o"/>
      <w:lvlJc w:val="left"/>
      <w:pPr>
        <w:ind w:left="7920" w:hanging="360"/>
      </w:pPr>
      <w:rPr>
        <w:rFonts w:ascii="Courier New" w:hAnsi="Courier New" w:cs="Courier New" w:hint="default"/>
      </w:rPr>
    </w:lvl>
    <w:lvl w:ilvl="2" w:tplc="0C090005">
      <w:start w:val="1"/>
      <w:numFmt w:val="bullet"/>
      <w:lvlText w:val=""/>
      <w:lvlJc w:val="left"/>
      <w:pPr>
        <w:ind w:left="8640" w:hanging="360"/>
      </w:pPr>
      <w:rPr>
        <w:rFonts w:ascii="Wingdings" w:hAnsi="Wingdings" w:hint="default"/>
      </w:rPr>
    </w:lvl>
    <w:lvl w:ilvl="3" w:tplc="0C090001">
      <w:start w:val="1"/>
      <w:numFmt w:val="bullet"/>
      <w:lvlText w:val=""/>
      <w:lvlJc w:val="left"/>
      <w:pPr>
        <w:ind w:left="9360" w:hanging="360"/>
      </w:pPr>
      <w:rPr>
        <w:rFonts w:ascii="Symbol" w:hAnsi="Symbol" w:hint="default"/>
      </w:rPr>
    </w:lvl>
    <w:lvl w:ilvl="4" w:tplc="0C090003">
      <w:start w:val="1"/>
      <w:numFmt w:val="bullet"/>
      <w:lvlText w:val="o"/>
      <w:lvlJc w:val="left"/>
      <w:pPr>
        <w:ind w:left="10080" w:hanging="360"/>
      </w:pPr>
      <w:rPr>
        <w:rFonts w:ascii="Courier New" w:hAnsi="Courier New" w:cs="Courier New" w:hint="default"/>
      </w:rPr>
    </w:lvl>
    <w:lvl w:ilvl="5" w:tplc="0C090005">
      <w:start w:val="1"/>
      <w:numFmt w:val="bullet"/>
      <w:lvlText w:val=""/>
      <w:lvlJc w:val="left"/>
      <w:pPr>
        <w:ind w:left="10800" w:hanging="360"/>
      </w:pPr>
      <w:rPr>
        <w:rFonts w:ascii="Wingdings" w:hAnsi="Wingdings" w:hint="default"/>
      </w:rPr>
    </w:lvl>
    <w:lvl w:ilvl="6" w:tplc="0C090001">
      <w:start w:val="1"/>
      <w:numFmt w:val="bullet"/>
      <w:lvlText w:val=""/>
      <w:lvlJc w:val="left"/>
      <w:pPr>
        <w:ind w:left="11520" w:hanging="360"/>
      </w:pPr>
      <w:rPr>
        <w:rFonts w:ascii="Symbol" w:hAnsi="Symbol" w:hint="default"/>
      </w:rPr>
    </w:lvl>
    <w:lvl w:ilvl="7" w:tplc="0C090003" w:tentative="1">
      <w:start w:val="1"/>
      <w:numFmt w:val="bullet"/>
      <w:lvlText w:val="o"/>
      <w:lvlJc w:val="left"/>
      <w:pPr>
        <w:ind w:left="12240" w:hanging="360"/>
      </w:pPr>
      <w:rPr>
        <w:rFonts w:ascii="Courier New" w:hAnsi="Courier New" w:cs="Courier New" w:hint="default"/>
      </w:rPr>
    </w:lvl>
    <w:lvl w:ilvl="8" w:tplc="0C090005" w:tentative="1">
      <w:start w:val="1"/>
      <w:numFmt w:val="bullet"/>
      <w:lvlText w:val=""/>
      <w:lvlJc w:val="left"/>
      <w:pPr>
        <w:ind w:left="12960" w:hanging="360"/>
      </w:pPr>
      <w:rPr>
        <w:rFonts w:ascii="Wingdings" w:hAnsi="Wingdings" w:hint="default"/>
      </w:rPr>
    </w:lvl>
  </w:abstractNum>
  <w:num w:numId="1">
    <w:abstractNumId w:val="18"/>
  </w:num>
  <w:num w:numId="2">
    <w:abstractNumId w:val="14"/>
  </w:num>
  <w:num w:numId="3">
    <w:abstractNumId w:val="15"/>
  </w:num>
  <w:num w:numId="4">
    <w:abstractNumId w:val="8"/>
  </w:num>
  <w:num w:numId="5">
    <w:abstractNumId w:val="20"/>
  </w:num>
  <w:num w:numId="6">
    <w:abstractNumId w:val="17"/>
  </w:num>
  <w:num w:numId="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1"/>
  </w:num>
  <w:num w:numId="15">
    <w:abstractNumId w:val="19"/>
  </w:num>
  <w:num w:numId="16">
    <w:abstractNumId w:val="4"/>
  </w:num>
  <w:num w:numId="17">
    <w:abstractNumId w:val="12"/>
  </w:num>
  <w:num w:numId="18">
    <w:abstractNumId w:val="2"/>
  </w:num>
  <w:num w:numId="19">
    <w:abstractNumId w:val="13"/>
  </w:num>
  <w:num w:numId="20">
    <w:abstractNumId w:val="6"/>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8D2"/>
    <w:rsid w:val="0001329A"/>
    <w:rsid w:val="000169AF"/>
    <w:rsid w:val="00040D7A"/>
    <w:rsid w:val="00041643"/>
    <w:rsid w:val="000503DE"/>
    <w:rsid w:val="00090429"/>
    <w:rsid w:val="000A43AA"/>
    <w:rsid w:val="000A5CD4"/>
    <w:rsid w:val="000B771A"/>
    <w:rsid w:val="000C3BCF"/>
    <w:rsid w:val="000C6C5A"/>
    <w:rsid w:val="000D2F0C"/>
    <w:rsid w:val="000D5030"/>
    <w:rsid w:val="000E1469"/>
    <w:rsid w:val="000F4F6F"/>
    <w:rsid w:val="000F76A0"/>
    <w:rsid w:val="001024C0"/>
    <w:rsid w:val="00107509"/>
    <w:rsid w:val="00114496"/>
    <w:rsid w:val="00122481"/>
    <w:rsid w:val="001275E3"/>
    <w:rsid w:val="00130464"/>
    <w:rsid w:val="00146109"/>
    <w:rsid w:val="001578FE"/>
    <w:rsid w:val="00170201"/>
    <w:rsid w:val="0017420F"/>
    <w:rsid w:val="0018049E"/>
    <w:rsid w:val="001A07C0"/>
    <w:rsid w:val="001A3B57"/>
    <w:rsid w:val="001E3619"/>
    <w:rsid w:val="001E61F0"/>
    <w:rsid w:val="001F611E"/>
    <w:rsid w:val="00201059"/>
    <w:rsid w:val="00213DAD"/>
    <w:rsid w:val="002163AA"/>
    <w:rsid w:val="00217FC4"/>
    <w:rsid w:val="00222B9E"/>
    <w:rsid w:val="00224B3A"/>
    <w:rsid w:val="00247707"/>
    <w:rsid w:val="00265E0F"/>
    <w:rsid w:val="00280AEC"/>
    <w:rsid w:val="00280E39"/>
    <w:rsid w:val="0028190E"/>
    <w:rsid w:val="002C1454"/>
    <w:rsid w:val="002D3983"/>
    <w:rsid w:val="002D4A0F"/>
    <w:rsid w:val="002D5D05"/>
    <w:rsid w:val="002F56BE"/>
    <w:rsid w:val="00336EB4"/>
    <w:rsid w:val="00347599"/>
    <w:rsid w:val="00356224"/>
    <w:rsid w:val="003618C5"/>
    <w:rsid w:val="00364030"/>
    <w:rsid w:val="00372F64"/>
    <w:rsid w:val="00391D17"/>
    <w:rsid w:val="003959B4"/>
    <w:rsid w:val="003A26B4"/>
    <w:rsid w:val="003A483E"/>
    <w:rsid w:val="003A6902"/>
    <w:rsid w:val="003B64F1"/>
    <w:rsid w:val="003D1D51"/>
    <w:rsid w:val="003D25C2"/>
    <w:rsid w:val="003D7123"/>
    <w:rsid w:val="003E05D7"/>
    <w:rsid w:val="00422D8B"/>
    <w:rsid w:val="0044272D"/>
    <w:rsid w:val="004525F5"/>
    <w:rsid w:val="00464172"/>
    <w:rsid w:val="004657D3"/>
    <w:rsid w:val="00481850"/>
    <w:rsid w:val="0049108C"/>
    <w:rsid w:val="00495F8C"/>
    <w:rsid w:val="004A41E8"/>
    <w:rsid w:val="004C1AD1"/>
    <w:rsid w:val="004C3175"/>
    <w:rsid w:val="004C4B24"/>
    <w:rsid w:val="004C5748"/>
    <w:rsid w:val="004D7470"/>
    <w:rsid w:val="004D78F0"/>
    <w:rsid w:val="004E3F45"/>
    <w:rsid w:val="004F1CF7"/>
    <w:rsid w:val="004F27A7"/>
    <w:rsid w:val="00501911"/>
    <w:rsid w:val="005061D1"/>
    <w:rsid w:val="00507592"/>
    <w:rsid w:val="00507B33"/>
    <w:rsid w:val="00511379"/>
    <w:rsid w:val="0051691D"/>
    <w:rsid w:val="0054351B"/>
    <w:rsid w:val="0057556D"/>
    <w:rsid w:val="00580B3F"/>
    <w:rsid w:val="005873E5"/>
    <w:rsid w:val="00595304"/>
    <w:rsid w:val="005A6FF8"/>
    <w:rsid w:val="005B1433"/>
    <w:rsid w:val="005B6FDD"/>
    <w:rsid w:val="005D05EB"/>
    <w:rsid w:val="005D29BF"/>
    <w:rsid w:val="005D6A2E"/>
    <w:rsid w:val="005F435B"/>
    <w:rsid w:val="0060524C"/>
    <w:rsid w:val="00616483"/>
    <w:rsid w:val="00635DB2"/>
    <w:rsid w:val="006367C0"/>
    <w:rsid w:val="00647AE8"/>
    <w:rsid w:val="00665C98"/>
    <w:rsid w:val="00667818"/>
    <w:rsid w:val="00667CEE"/>
    <w:rsid w:val="006722EB"/>
    <w:rsid w:val="006811FA"/>
    <w:rsid w:val="00683803"/>
    <w:rsid w:val="00694B95"/>
    <w:rsid w:val="00697819"/>
    <w:rsid w:val="00697F8B"/>
    <w:rsid w:val="00697F92"/>
    <w:rsid w:val="006A200A"/>
    <w:rsid w:val="006B6F29"/>
    <w:rsid w:val="006C43AA"/>
    <w:rsid w:val="006E090F"/>
    <w:rsid w:val="006E76D3"/>
    <w:rsid w:val="0071159C"/>
    <w:rsid w:val="0071327B"/>
    <w:rsid w:val="00715BAB"/>
    <w:rsid w:val="00733809"/>
    <w:rsid w:val="00751779"/>
    <w:rsid w:val="00751E62"/>
    <w:rsid w:val="00760228"/>
    <w:rsid w:val="00776735"/>
    <w:rsid w:val="00792DFF"/>
    <w:rsid w:val="00793160"/>
    <w:rsid w:val="007975BA"/>
    <w:rsid w:val="007B05A1"/>
    <w:rsid w:val="007B7149"/>
    <w:rsid w:val="007D3431"/>
    <w:rsid w:val="007D5A6A"/>
    <w:rsid w:val="007F1268"/>
    <w:rsid w:val="007F365D"/>
    <w:rsid w:val="007F62AF"/>
    <w:rsid w:val="0080313F"/>
    <w:rsid w:val="008043E8"/>
    <w:rsid w:val="00814D9F"/>
    <w:rsid w:val="0082701F"/>
    <w:rsid w:val="00827202"/>
    <w:rsid w:val="00830131"/>
    <w:rsid w:val="00844DD7"/>
    <w:rsid w:val="00875500"/>
    <w:rsid w:val="00876063"/>
    <w:rsid w:val="00881083"/>
    <w:rsid w:val="00881A90"/>
    <w:rsid w:val="0088408C"/>
    <w:rsid w:val="00895AE4"/>
    <w:rsid w:val="008B7412"/>
    <w:rsid w:val="008E665B"/>
    <w:rsid w:val="008F0C9D"/>
    <w:rsid w:val="0090038B"/>
    <w:rsid w:val="00904ADB"/>
    <w:rsid w:val="00916A9E"/>
    <w:rsid w:val="00930986"/>
    <w:rsid w:val="00935CCC"/>
    <w:rsid w:val="009360A0"/>
    <w:rsid w:val="009448A8"/>
    <w:rsid w:val="00954295"/>
    <w:rsid w:val="00954ED4"/>
    <w:rsid w:val="009552EF"/>
    <w:rsid w:val="009712C1"/>
    <w:rsid w:val="00972E50"/>
    <w:rsid w:val="00973197"/>
    <w:rsid w:val="00973E19"/>
    <w:rsid w:val="00982276"/>
    <w:rsid w:val="00985B71"/>
    <w:rsid w:val="0099341B"/>
    <w:rsid w:val="009B2C83"/>
    <w:rsid w:val="009B5DE3"/>
    <w:rsid w:val="009C23C6"/>
    <w:rsid w:val="009D475D"/>
    <w:rsid w:val="009E194C"/>
    <w:rsid w:val="009E556E"/>
    <w:rsid w:val="00A03B23"/>
    <w:rsid w:val="00A07C1D"/>
    <w:rsid w:val="00A11358"/>
    <w:rsid w:val="00A118D2"/>
    <w:rsid w:val="00A204C2"/>
    <w:rsid w:val="00A270FF"/>
    <w:rsid w:val="00A3431A"/>
    <w:rsid w:val="00A3450B"/>
    <w:rsid w:val="00A42152"/>
    <w:rsid w:val="00A51BEB"/>
    <w:rsid w:val="00A5452D"/>
    <w:rsid w:val="00A607DE"/>
    <w:rsid w:val="00A669D1"/>
    <w:rsid w:val="00A677D1"/>
    <w:rsid w:val="00A967AD"/>
    <w:rsid w:val="00AA75E1"/>
    <w:rsid w:val="00AA79B2"/>
    <w:rsid w:val="00AB3701"/>
    <w:rsid w:val="00AB58D7"/>
    <w:rsid w:val="00AC3C2E"/>
    <w:rsid w:val="00AC401A"/>
    <w:rsid w:val="00AD28B7"/>
    <w:rsid w:val="00AD7938"/>
    <w:rsid w:val="00AF5969"/>
    <w:rsid w:val="00B0174E"/>
    <w:rsid w:val="00B0223D"/>
    <w:rsid w:val="00B045B3"/>
    <w:rsid w:val="00B17189"/>
    <w:rsid w:val="00B17DDD"/>
    <w:rsid w:val="00B2578E"/>
    <w:rsid w:val="00B320B1"/>
    <w:rsid w:val="00B3730B"/>
    <w:rsid w:val="00B41397"/>
    <w:rsid w:val="00B67923"/>
    <w:rsid w:val="00B735D5"/>
    <w:rsid w:val="00B92F73"/>
    <w:rsid w:val="00BA1507"/>
    <w:rsid w:val="00BA2F69"/>
    <w:rsid w:val="00BA42D6"/>
    <w:rsid w:val="00BD7824"/>
    <w:rsid w:val="00BE4293"/>
    <w:rsid w:val="00BE496C"/>
    <w:rsid w:val="00BE6E75"/>
    <w:rsid w:val="00BE73DD"/>
    <w:rsid w:val="00BF7114"/>
    <w:rsid w:val="00C15BF5"/>
    <w:rsid w:val="00C37A48"/>
    <w:rsid w:val="00C42E57"/>
    <w:rsid w:val="00C447CC"/>
    <w:rsid w:val="00C464A2"/>
    <w:rsid w:val="00C4711F"/>
    <w:rsid w:val="00C7152F"/>
    <w:rsid w:val="00C83D0D"/>
    <w:rsid w:val="00C874DD"/>
    <w:rsid w:val="00C933AF"/>
    <w:rsid w:val="00CA03B8"/>
    <w:rsid w:val="00CA3240"/>
    <w:rsid w:val="00CA7E63"/>
    <w:rsid w:val="00CB102A"/>
    <w:rsid w:val="00CC03EF"/>
    <w:rsid w:val="00CC394A"/>
    <w:rsid w:val="00CD3C9B"/>
    <w:rsid w:val="00CE3EE8"/>
    <w:rsid w:val="00CF24FC"/>
    <w:rsid w:val="00CF4DFC"/>
    <w:rsid w:val="00D01AB1"/>
    <w:rsid w:val="00D03A0A"/>
    <w:rsid w:val="00D22F24"/>
    <w:rsid w:val="00D350CA"/>
    <w:rsid w:val="00D40FA1"/>
    <w:rsid w:val="00D42297"/>
    <w:rsid w:val="00D5694C"/>
    <w:rsid w:val="00D72307"/>
    <w:rsid w:val="00D72C08"/>
    <w:rsid w:val="00D75BAF"/>
    <w:rsid w:val="00D770CE"/>
    <w:rsid w:val="00D866D0"/>
    <w:rsid w:val="00D9191D"/>
    <w:rsid w:val="00D922B8"/>
    <w:rsid w:val="00DB2531"/>
    <w:rsid w:val="00DB280B"/>
    <w:rsid w:val="00DC20CB"/>
    <w:rsid w:val="00DC21AC"/>
    <w:rsid w:val="00DD4E60"/>
    <w:rsid w:val="00DE0D05"/>
    <w:rsid w:val="00DE326A"/>
    <w:rsid w:val="00DE4E4C"/>
    <w:rsid w:val="00E069EC"/>
    <w:rsid w:val="00E20154"/>
    <w:rsid w:val="00E37DAD"/>
    <w:rsid w:val="00E4184E"/>
    <w:rsid w:val="00E506D9"/>
    <w:rsid w:val="00E648E3"/>
    <w:rsid w:val="00E712F2"/>
    <w:rsid w:val="00EA31A5"/>
    <w:rsid w:val="00EC1CB2"/>
    <w:rsid w:val="00EC5382"/>
    <w:rsid w:val="00EE488A"/>
    <w:rsid w:val="00EF2E0D"/>
    <w:rsid w:val="00EF5E31"/>
    <w:rsid w:val="00F146BE"/>
    <w:rsid w:val="00F32BD9"/>
    <w:rsid w:val="00F664AB"/>
    <w:rsid w:val="00F956E5"/>
    <w:rsid w:val="00F97E53"/>
    <w:rsid w:val="00FA0CD4"/>
    <w:rsid w:val="00FA19B1"/>
    <w:rsid w:val="00FB1F39"/>
    <w:rsid w:val="00FB524C"/>
    <w:rsid w:val="00FD4F44"/>
    <w:rsid w:val="00FE0DD5"/>
    <w:rsid w:val="00FF0EDA"/>
    <w:rsid w:val="00FF50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7C10"/>
  <w15:chartTrackingRefBased/>
  <w15:docId w15:val="{4B65BCA4-F88B-447E-9C20-EDAC7265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35CCC"/>
    <w:pPr>
      <w:spacing w:before="120" w:after="120" w:line="240" w:lineRule="auto"/>
      <w:outlineLvl w:val="1"/>
    </w:pPr>
    <w:rPr>
      <w:rFonts w:ascii="Calibri" w:eastAsia="Times New Roman" w:hAnsi="Calibri" w:cs="Calibri"/>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List Paragraph111,L,F5 List Paragraph,Dot pt,CV text,Medium Grid 1 - Accent 21,Numbered Paragraph,No Spacing1,List Paragraph Char Char Char,Indicator Text,Numbered Para 1,Bullet Points,列出段落"/>
    <w:basedOn w:val="Normal"/>
    <w:link w:val="ListParagraphChar"/>
    <w:uiPriority w:val="34"/>
    <w:qFormat/>
    <w:rsid w:val="00DB2531"/>
    <w:pPr>
      <w:numPr>
        <w:numId w:val="19"/>
      </w:numPr>
      <w:ind w:left="714" w:hanging="357"/>
    </w:pPr>
    <w:rPr>
      <w:rFonts w:cstheme="minorHAnsi"/>
    </w:rPr>
  </w:style>
  <w:style w:type="character" w:customStyle="1" w:styleId="ListParagraphChar">
    <w:name w:val="List Paragraph Char"/>
    <w:aliases w:val="Recommendation Char,List Paragraph1 Char,List Paragraph11 Char,List Paragraph111 Char,L Char,F5 List Paragraph Char,Dot pt Char,CV text Char,Medium Grid 1 - Accent 21 Char,Numbered Paragraph Char,No Spacing1 Char,Indicator Text Char"/>
    <w:link w:val="ListParagraph"/>
    <w:uiPriority w:val="34"/>
    <w:qFormat/>
    <w:rsid w:val="00DB2531"/>
    <w:rPr>
      <w:rFonts w:cstheme="minorHAnsi"/>
    </w:rPr>
  </w:style>
  <w:style w:type="character" w:customStyle="1" w:styleId="Heading2Char">
    <w:name w:val="Heading 2 Char"/>
    <w:basedOn w:val="DefaultParagraphFont"/>
    <w:link w:val="Heading2"/>
    <w:uiPriority w:val="9"/>
    <w:rsid w:val="00935CCC"/>
    <w:rPr>
      <w:rFonts w:ascii="Calibri" w:eastAsia="Times New Roman" w:hAnsi="Calibri" w:cs="Calibri"/>
      <w:color w:val="000000"/>
      <w:lang w:eastAsia="en-AU"/>
    </w:rPr>
  </w:style>
  <w:style w:type="table" w:styleId="TableGrid">
    <w:name w:val="Table Grid"/>
    <w:basedOn w:val="TableNormal"/>
    <w:uiPriority w:val="39"/>
    <w:rsid w:val="00935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5CCC"/>
    <w:rPr>
      <w:sz w:val="16"/>
      <w:szCs w:val="16"/>
    </w:rPr>
  </w:style>
  <w:style w:type="paragraph" w:styleId="CommentText">
    <w:name w:val="annotation text"/>
    <w:basedOn w:val="Normal"/>
    <w:link w:val="CommentTextChar"/>
    <w:uiPriority w:val="99"/>
    <w:unhideWhenUsed/>
    <w:rsid w:val="00935CCC"/>
    <w:pPr>
      <w:spacing w:line="240" w:lineRule="auto"/>
    </w:pPr>
    <w:rPr>
      <w:sz w:val="20"/>
      <w:szCs w:val="20"/>
    </w:rPr>
  </w:style>
  <w:style w:type="character" w:customStyle="1" w:styleId="CommentTextChar">
    <w:name w:val="Comment Text Char"/>
    <w:basedOn w:val="DefaultParagraphFont"/>
    <w:link w:val="CommentText"/>
    <w:uiPriority w:val="99"/>
    <w:rsid w:val="00935CCC"/>
    <w:rPr>
      <w:sz w:val="20"/>
      <w:szCs w:val="20"/>
    </w:rPr>
  </w:style>
  <w:style w:type="paragraph" w:styleId="CommentSubject">
    <w:name w:val="annotation subject"/>
    <w:basedOn w:val="CommentText"/>
    <w:next w:val="CommentText"/>
    <w:link w:val="CommentSubjectChar"/>
    <w:uiPriority w:val="99"/>
    <w:semiHidden/>
    <w:unhideWhenUsed/>
    <w:rsid w:val="00935CCC"/>
    <w:rPr>
      <w:b/>
      <w:bCs/>
    </w:rPr>
  </w:style>
  <w:style w:type="character" w:customStyle="1" w:styleId="CommentSubjectChar">
    <w:name w:val="Comment Subject Char"/>
    <w:basedOn w:val="CommentTextChar"/>
    <w:link w:val="CommentSubject"/>
    <w:uiPriority w:val="99"/>
    <w:semiHidden/>
    <w:rsid w:val="00935CCC"/>
    <w:rPr>
      <w:b/>
      <w:bCs/>
      <w:sz w:val="20"/>
      <w:szCs w:val="20"/>
    </w:rPr>
  </w:style>
  <w:style w:type="paragraph" w:styleId="BalloonText">
    <w:name w:val="Balloon Text"/>
    <w:basedOn w:val="Normal"/>
    <w:link w:val="BalloonTextChar"/>
    <w:uiPriority w:val="99"/>
    <w:semiHidden/>
    <w:unhideWhenUsed/>
    <w:rsid w:val="00935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CCC"/>
    <w:rPr>
      <w:rFonts w:ascii="Segoe UI" w:hAnsi="Segoe UI" w:cs="Segoe UI"/>
      <w:sz w:val="18"/>
      <w:szCs w:val="18"/>
    </w:rPr>
  </w:style>
  <w:style w:type="paragraph" w:styleId="NormalWeb">
    <w:name w:val="Normal (Web)"/>
    <w:basedOn w:val="Normal"/>
    <w:uiPriority w:val="99"/>
    <w:unhideWhenUsed/>
    <w:rsid w:val="0087550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875500"/>
    <w:rPr>
      <w:i/>
      <w:iCs/>
    </w:rPr>
  </w:style>
  <w:style w:type="paragraph" w:styleId="EndnoteText">
    <w:name w:val="endnote text"/>
    <w:basedOn w:val="Normal"/>
    <w:link w:val="EndnoteTextChar"/>
    <w:uiPriority w:val="99"/>
    <w:semiHidden/>
    <w:unhideWhenUsed/>
    <w:rsid w:val="00A3431A"/>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A3431A"/>
    <w:rPr>
      <w:sz w:val="20"/>
      <w:szCs w:val="20"/>
      <w:lang w:val="en-GB"/>
    </w:rPr>
  </w:style>
  <w:style w:type="character" w:styleId="EndnoteReference">
    <w:name w:val="endnote reference"/>
    <w:basedOn w:val="DefaultParagraphFont"/>
    <w:unhideWhenUsed/>
    <w:qFormat/>
    <w:rsid w:val="00A3431A"/>
    <w:rPr>
      <w:vertAlign w:val="superscript"/>
    </w:rPr>
  </w:style>
  <w:style w:type="paragraph" w:customStyle="1" w:styleId="Default">
    <w:name w:val="Default"/>
    <w:rsid w:val="00D5694C"/>
    <w:pPr>
      <w:autoSpaceDE w:val="0"/>
      <w:autoSpaceDN w:val="0"/>
      <w:adjustRightInd w:val="0"/>
      <w:spacing w:after="0" w:line="240" w:lineRule="auto"/>
    </w:pPr>
    <w:rPr>
      <w:rFonts w:ascii="Arial" w:hAnsi="Arial" w:cs="Arial"/>
      <w:color w:val="000000"/>
      <w:sz w:val="24"/>
      <w:szCs w:val="24"/>
    </w:rPr>
  </w:style>
  <w:style w:type="paragraph" w:customStyle="1" w:styleId="UPRReportbody">
    <w:name w:val="UPR Report body"/>
    <w:basedOn w:val="ListParagraph"/>
    <w:qFormat/>
    <w:rsid w:val="000E1469"/>
    <w:pPr>
      <w:numPr>
        <w:numId w:val="21"/>
      </w:numPr>
      <w:spacing w:after="120" w:line="288" w:lineRule="auto"/>
      <w:ind w:left="0" w:firstLine="0"/>
      <w:jc w:val="both"/>
    </w:pPr>
    <w:rPr>
      <w:rFonts w:ascii="Times New Roman" w:hAnsi="Times New Roman" w:cs="Times New Roman"/>
      <w:sz w:val="24"/>
      <w:szCs w:val="24"/>
      <w:lang w:val="en-GB"/>
    </w:rPr>
  </w:style>
  <w:style w:type="character" w:styleId="Hyperlink">
    <w:name w:val="Hyperlink"/>
    <w:basedOn w:val="DefaultParagraphFont"/>
    <w:uiPriority w:val="99"/>
    <w:semiHidden/>
    <w:unhideWhenUsed/>
    <w:rsid w:val="00DE32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2338">
      <w:bodyDiv w:val="1"/>
      <w:marLeft w:val="0"/>
      <w:marRight w:val="0"/>
      <w:marTop w:val="0"/>
      <w:marBottom w:val="0"/>
      <w:divBdr>
        <w:top w:val="none" w:sz="0" w:space="0" w:color="auto"/>
        <w:left w:val="none" w:sz="0" w:space="0" w:color="auto"/>
        <w:bottom w:val="none" w:sz="0" w:space="0" w:color="auto"/>
        <w:right w:val="none" w:sz="0" w:space="0" w:color="auto"/>
      </w:divBdr>
    </w:div>
    <w:div w:id="669137649">
      <w:bodyDiv w:val="1"/>
      <w:marLeft w:val="0"/>
      <w:marRight w:val="0"/>
      <w:marTop w:val="0"/>
      <w:marBottom w:val="0"/>
      <w:divBdr>
        <w:top w:val="none" w:sz="0" w:space="0" w:color="auto"/>
        <w:left w:val="none" w:sz="0" w:space="0" w:color="auto"/>
        <w:bottom w:val="none" w:sz="0" w:space="0" w:color="auto"/>
        <w:right w:val="none" w:sz="0" w:space="0" w:color="auto"/>
      </w:divBdr>
    </w:div>
    <w:div w:id="1026954083">
      <w:bodyDiv w:val="1"/>
      <w:marLeft w:val="0"/>
      <w:marRight w:val="0"/>
      <w:marTop w:val="0"/>
      <w:marBottom w:val="0"/>
      <w:divBdr>
        <w:top w:val="none" w:sz="0" w:space="0" w:color="auto"/>
        <w:left w:val="none" w:sz="0" w:space="0" w:color="auto"/>
        <w:bottom w:val="none" w:sz="0" w:space="0" w:color="auto"/>
        <w:right w:val="none" w:sz="0" w:space="0" w:color="auto"/>
      </w:divBdr>
    </w:div>
    <w:div w:id="1950819531">
      <w:bodyDiv w:val="1"/>
      <w:marLeft w:val="0"/>
      <w:marRight w:val="0"/>
      <w:marTop w:val="0"/>
      <w:marBottom w:val="0"/>
      <w:divBdr>
        <w:top w:val="none" w:sz="0" w:space="0" w:color="auto"/>
        <w:left w:val="none" w:sz="0" w:space="0" w:color="auto"/>
        <w:bottom w:val="none" w:sz="0" w:space="0" w:color="auto"/>
        <w:right w:val="none" w:sz="0" w:space="0" w:color="auto"/>
      </w:divBdr>
    </w:div>
    <w:div w:id="2039307340">
      <w:bodyDiv w:val="1"/>
      <w:marLeft w:val="0"/>
      <w:marRight w:val="0"/>
      <w:marTop w:val="0"/>
      <w:marBottom w:val="0"/>
      <w:divBdr>
        <w:top w:val="none" w:sz="0" w:space="0" w:color="auto"/>
        <w:left w:val="none" w:sz="0" w:space="0" w:color="auto"/>
        <w:bottom w:val="none" w:sz="0" w:space="0" w:color="auto"/>
        <w:right w:val="none" w:sz="0" w:space="0" w:color="auto"/>
      </w:divBdr>
    </w:div>
    <w:div w:id="212896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D5228A-5423-43E1-B061-4BA91471FEC2}"/>
</file>

<file path=customXml/itemProps2.xml><?xml version="1.0" encoding="utf-8"?>
<ds:datastoreItem xmlns:ds="http://schemas.openxmlformats.org/officeDocument/2006/customXml" ds:itemID="{4382E75A-5F38-4E87-8867-2C03B337961E}"/>
</file>

<file path=customXml/itemProps3.xml><?xml version="1.0" encoding="utf-8"?>
<ds:datastoreItem xmlns:ds="http://schemas.openxmlformats.org/officeDocument/2006/customXml" ds:itemID="{C6E8D426-5149-410C-9DE9-4F9DA6D5F800}"/>
</file>

<file path=customXml/itemProps4.xml><?xml version="1.0" encoding="utf-8"?>
<ds:datastoreItem xmlns:ds="http://schemas.openxmlformats.org/officeDocument/2006/customXml" ds:itemID="{7DEF6495-56F2-4681-B827-BD26B97391B3}"/>
</file>

<file path=docProps/app.xml><?xml version="1.0" encoding="utf-8"?>
<Properties xmlns="http://schemas.openxmlformats.org/officeDocument/2006/extended-properties" xmlns:vt="http://schemas.openxmlformats.org/officeDocument/2006/docPropsVTypes">
  <Template>Normal</Template>
  <TotalTime>3</TotalTime>
  <Pages>4</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Attorney-General's Department</Company>
  <LinksUpToDate>false</LinksUpToDate>
  <CharactersWithSpaces>10856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Dilkes-Frayne, Ella</dc:creator>
  <cp:keywords/>
  <dc:description/>
  <cp:lastModifiedBy>Dilkes-Frayne, Ella</cp:lastModifiedBy>
  <cp:revision>3</cp:revision>
  <dcterms:created xsi:type="dcterms:W3CDTF">2021-01-20T06:07:00Z</dcterms:created>
  <dcterms:modified xsi:type="dcterms:W3CDTF">2021-01-20T06:09:00Z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