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1823C" w14:textId="77777777" w:rsidR="00896AD7" w:rsidRPr="00896AD7" w:rsidRDefault="00896AD7" w:rsidP="00896AD7">
      <w:pPr>
        <w:bidi/>
        <w:jc w:val="center"/>
        <w:rPr>
          <w:rFonts w:asciiTheme="majorBidi" w:hAnsiTheme="majorBidi" w:cstheme="majorBidi"/>
          <w:b/>
          <w:bCs/>
          <w:u w:val="single"/>
        </w:rPr>
      </w:pPr>
      <w:r w:rsidRPr="00896AD7">
        <w:rPr>
          <w:rFonts w:asciiTheme="majorBidi" w:hAnsiTheme="majorBidi" w:cstheme="majorBidi"/>
          <w:b/>
          <w:bCs/>
          <w:noProof/>
          <w:color w:val="212121"/>
          <w:rtl/>
        </w:rPr>
        <w:drawing>
          <wp:inline distT="0" distB="0" distL="0" distR="0" wp14:anchorId="0C571F19" wp14:editId="0550AED1">
            <wp:extent cx="1836420" cy="75656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LW new logo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6462" cy="76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DEFC4" w14:textId="77777777" w:rsidR="00896AD7" w:rsidRPr="00BE2285" w:rsidRDefault="00896AD7" w:rsidP="00896AD7">
      <w:pPr>
        <w:bidi/>
        <w:jc w:val="center"/>
        <w:rPr>
          <w:rFonts w:asciiTheme="majorBidi" w:hAnsiTheme="majorBidi" w:cstheme="majorBidi"/>
          <w:b/>
          <w:bCs/>
          <w:color w:val="FF0000"/>
          <w:u w:val="single"/>
        </w:rPr>
      </w:pPr>
      <w:bookmarkStart w:id="0" w:name="_GoBack"/>
    </w:p>
    <w:p w14:paraId="6FD10365" w14:textId="75E6DA48" w:rsidR="00BE2285" w:rsidRPr="00BE2285" w:rsidRDefault="00BE2285" w:rsidP="00896AD7">
      <w:pPr>
        <w:bidi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BE228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VIDEO 13</w:t>
      </w:r>
    </w:p>
    <w:bookmarkEnd w:id="0"/>
    <w:p w14:paraId="7602B7C0" w14:textId="77777777" w:rsidR="00BE2285" w:rsidRDefault="00BE2285" w:rsidP="00BE228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CF42658" w14:textId="407C2776" w:rsidR="0063469F" w:rsidRPr="00C40A48" w:rsidRDefault="0063469F" w:rsidP="00BE228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جلسة مناقشة تقرير لبنان الوطني الثالث </w:t>
      </w:r>
    </w:p>
    <w:p w14:paraId="5D6FC646" w14:textId="77777777" w:rsidR="0063469F" w:rsidRPr="00C40A48" w:rsidRDefault="0063469F" w:rsidP="00896AD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ضمن آلية الاستعراض الدوري الشامل لحالة حقوق الانسان</w:t>
      </w:r>
    </w:p>
    <w:p w14:paraId="24165023" w14:textId="55CD0A50" w:rsidR="0063469F" w:rsidRPr="00C40A48" w:rsidRDefault="0063469F" w:rsidP="00896AD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كلمة سعادة السيدة </w:t>
      </w:r>
      <w:r w:rsidR="00896AD7"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ميشلين</w:t>
      </w:r>
      <w:r w:rsidR="008D04AB" w:rsidRPr="00C40A4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الياس</w:t>
      </w:r>
      <w:r w:rsidR="00896AD7"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مسعد</w:t>
      </w:r>
    </w:p>
    <w:p w14:paraId="070D06FD" w14:textId="77777777" w:rsidR="00896AD7" w:rsidRPr="00C40A48" w:rsidRDefault="00896AD7" w:rsidP="00896AD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مديرة تنفيذية</w:t>
      </w:r>
    </w:p>
    <w:p w14:paraId="19D1DB33" w14:textId="77777777" w:rsidR="0063469F" w:rsidRPr="00C40A48" w:rsidRDefault="0063469F" w:rsidP="00896AD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C40A48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الهيئة الوطنية لشؤون المرأة اللبنانية</w:t>
      </w:r>
    </w:p>
    <w:p w14:paraId="2D032B19" w14:textId="77777777" w:rsidR="00C40A48" w:rsidRDefault="00C40A48" w:rsidP="00896AD7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</w:p>
    <w:p w14:paraId="22D2EB5A" w14:textId="7A97CF93" w:rsidR="0063469F" w:rsidRPr="00C40A48" w:rsidRDefault="0063469F" w:rsidP="00C40A48">
      <w:pPr>
        <w:bidi/>
        <w:jc w:val="center"/>
        <w:rPr>
          <w:rFonts w:asciiTheme="majorBidi" w:hAnsiTheme="majorBidi" w:cstheme="majorBidi"/>
          <w:sz w:val="32"/>
          <w:szCs w:val="32"/>
          <w:rtl/>
        </w:rPr>
      </w:pPr>
      <w:r w:rsidRPr="00C40A48">
        <w:rPr>
          <w:rFonts w:asciiTheme="majorBidi" w:hAnsiTheme="majorBidi" w:cstheme="majorBidi"/>
          <w:sz w:val="32"/>
          <w:szCs w:val="32"/>
          <w:rtl/>
        </w:rPr>
        <w:t>بيروت، في ١٨/١/٢٠٢١</w:t>
      </w:r>
    </w:p>
    <w:p w14:paraId="109B9B8A" w14:textId="77777777" w:rsidR="0063469F" w:rsidRPr="008D04AB" w:rsidRDefault="0063469F" w:rsidP="00896AD7">
      <w:pPr>
        <w:bidi/>
        <w:jc w:val="both"/>
        <w:rPr>
          <w:rFonts w:asciiTheme="majorBidi" w:hAnsiTheme="majorBidi" w:cstheme="majorBidi"/>
          <w:sz w:val="32"/>
          <w:szCs w:val="32"/>
        </w:rPr>
      </w:pPr>
    </w:p>
    <w:p w14:paraId="3CAAA751" w14:textId="77777777" w:rsidR="00256FEB" w:rsidRPr="008D04AB" w:rsidRDefault="00256FEB" w:rsidP="00896AD7">
      <w:pPr>
        <w:pStyle w:val="Paragraphedeliste"/>
        <w:numPr>
          <w:ilvl w:val="0"/>
          <w:numId w:val="8"/>
        </w:numPr>
        <w:shd w:val="clear" w:color="auto" w:fill="B4C6E7" w:themeFill="accent1" w:themeFillTint="66"/>
        <w:bidi/>
        <w:jc w:val="both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D04AB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في التشريع:</w:t>
      </w:r>
    </w:p>
    <w:p w14:paraId="79E1B260" w14:textId="77777777" w:rsidR="00256FEB" w:rsidRPr="008D04AB" w:rsidRDefault="00256FEB" w:rsidP="00896AD7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628518EA" w14:textId="6A3F630D" w:rsidR="00256FEB" w:rsidRPr="008D04A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بتاريخ ٢١/١٢/٢٠٢٠، أقرّ مجلس النوّاب قانون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ين كانت الهيئة الوطنية لشؤون المرأة اللبنانية قد شار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ك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 في إعداد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ِ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ه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ِ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ما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، وذلك تتويجاً لسنوات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ٍ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م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ِ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ن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الن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ِ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ضال الم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ُ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شت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ر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ك ب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ين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الج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ِ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هات الرسمية وهيئات المجتمع المدني، وهما:</w:t>
      </w:r>
    </w:p>
    <w:p w14:paraId="2719B595" w14:textId="77777777" w:rsidR="00256FEB" w:rsidRPr="000C2E6D" w:rsidRDefault="00256FEB" w:rsidP="00896AD7">
      <w:pPr>
        <w:pStyle w:val="PrformatHTML"/>
        <w:shd w:val="clear" w:color="auto" w:fill="FFFFFF"/>
        <w:bidi/>
        <w:ind w:left="720"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2057D02D" w14:textId="09A89955" w:rsidR="00256FEB" w:rsidRPr="008D04AB" w:rsidRDefault="00256FEB" w:rsidP="000A6420">
      <w:pPr>
        <w:pStyle w:val="PrformatHTML"/>
        <w:numPr>
          <w:ilvl w:val="0"/>
          <w:numId w:val="11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قانون تجريم التحرش الجنسي وتأهيل ضحاياها وضمان إعادة إندماجهم في المجتمع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3E484488" w14:textId="53C0B83C" w:rsidR="00256FEB" w:rsidRDefault="00256FEB" w:rsidP="00896AD7">
      <w:pPr>
        <w:pStyle w:val="PrformatHTML"/>
        <w:numPr>
          <w:ilvl w:val="0"/>
          <w:numId w:val="11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والقانون الرامي الى تعديل "قانون حماية النساء و</w:t>
      </w:r>
      <w:r w:rsidR="00443696" w:rsidRP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سائر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أفراد الأسرة من العنف الأسري" لتأمين حماي</w:t>
      </w:r>
      <w:r w:rsidR="000C2E6D" w:rsidRP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ةٍ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أكثر فعالية لضحايا</w:t>
      </w:r>
      <w:r w:rsidR="0063469F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العنف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2368B170" w14:textId="77777777" w:rsidR="008C05B0" w:rsidRPr="00EE7E09" w:rsidRDefault="008C05B0" w:rsidP="008C05B0">
      <w:pPr>
        <w:pStyle w:val="PrformatHTML"/>
        <w:shd w:val="clear" w:color="auto" w:fill="FFFFFF"/>
        <w:bidi/>
        <w:ind w:left="720"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7579E31B" w14:textId="76AE86C2" w:rsidR="00256FEB" w:rsidRPr="008D04A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تتابع</w:t>
      </w:r>
      <w:r w:rsidRPr="008D04AB">
        <w:rPr>
          <w:rFonts w:asciiTheme="majorBidi" w:hAnsiTheme="majorBidi" w:cstheme="majorBidi"/>
          <w:b/>
          <w:bCs/>
          <w:color w:val="212121"/>
          <w:sz w:val="32"/>
          <w:szCs w:val="32"/>
          <w:rtl/>
          <w:lang w:bidi="ar-LB"/>
        </w:rPr>
        <w:t xml:space="preserve"> 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الهيئة مواضيع قانونية </w:t>
      </w:r>
      <w:r w:rsidR="0063469F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قضاء على التمييز الذي تعاني منه النساء في لبنان، ومنها:</w:t>
      </w:r>
    </w:p>
    <w:p w14:paraId="600A6A82" w14:textId="77777777" w:rsidR="00256FEB" w:rsidRPr="008D04AB" w:rsidRDefault="00256FEB" w:rsidP="00896AD7">
      <w:pPr>
        <w:pStyle w:val="PrformatHTML"/>
        <w:shd w:val="clear" w:color="auto" w:fill="FFFFFF"/>
        <w:bidi/>
        <w:ind w:left="720"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0AA4E60E" w14:textId="6798AD27" w:rsidR="00256FEB" w:rsidRPr="008D04AB" w:rsidRDefault="00A5590E" w:rsidP="00443696">
      <w:pPr>
        <w:pStyle w:val="PrformatHTML"/>
        <w:numPr>
          <w:ilvl w:val="0"/>
          <w:numId w:val="11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ال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تحضير لدراسات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ٍ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تمهّد ل</w:t>
      </w:r>
      <w:r w:rsidR="00443696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إ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عداد قانون مدني موّحد للأحوال الشخصية، يؤمن المساواة التامة بين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الجنسين</w:t>
      </w:r>
      <w:r w:rsidR="00443696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731A5EFB" w14:textId="560CAA63" w:rsidR="00256FEB" w:rsidRPr="008D04AB" w:rsidRDefault="00443696" w:rsidP="00896AD7">
      <w:pPr>
        <w:pStyle w:val="PrformatHTML"/>
        <w:numPr>
          <w:ilvl w:val="0"/>
          <w:numId w:val="11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  <w:r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متابعة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مشروع القانون الرامي الى الإعتراف بحق المر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أ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ة اللبنانية </w:t>
      </w:r>
      <w:r w:rsidR="00841C55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في 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نقل جنسيتها لاولادها</w:t>
      </w:r>
      <w:r w:rsidR="000A6420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، وقد أعدّت 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دراسة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ً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، بالتعاون مع 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هيئة الأمم المتحدة للمرأة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، </w:t>
      </w:r>
      <w:r w:rsidR="00841C55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كسب التأييد لإقرار مشروع القانون.</w:t>
      </w:r>
    </w:p>
    <w:p w14:paraId="55BAB05A" w14:textId="77777777" w:rsidR="00256FEB" w:rsidRPr="008D04AB" w:rsidRDefault="00256FEB" w:rsidP="00896AD7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760C5F8F" w14:textId="31DB94F2" w:rsidR="00256FEB" w:rsidRPr="008D04AB" w:rsidRDefault="00A405F3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في 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القرارات الإدارية، و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ب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إقتراح من الهيئة، </w:t>
      </w:r>
      <w:r w:rsidR="00443696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طلب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وزير التربية والتعليم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العالي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من المسؤولين عن المدارس والثانويات والمعاهد، الرسمية والخاصة،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توفير المقاعد الدراسية ل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أولاد اللبنانيات المتزوجات من أجانب.</w:t>
      </w:r>
    </w:p>
    <w:p w14:paraId="53BADC3F" w14:textId="77777777" w:rsidR="00256FEB" w:rsidRPr="008D04AB" w:rsidRDefault="00256FEB" w:rsidP="00896AD7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42A03AEC" w14:textId="5B0F60B2" w:rsidR="00256FE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lastRenderedPageBreak/>
        <w:t>يهم الهيئة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ُ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الإضاءة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َ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على الجهود المبذولة في اللجان النيابية، ولا سيما منها لجنة المرأة والطفل،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دراسة مشروع قانون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اعتراف بحق الأم بفتح حساب مصرفي لأولادها القاصرين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18014801" w14:textId="77777777" w:rsidR="00256FEB" w:rsidRPr="008D04AB" w:rsidRDefault="00256FEB" w:rsidP="00896AD7">
      <w:pPr>
        <w:bidi/>
        <w:spacing w:after="5"/>
        <w:jc w:val="both"/>
        <w:rPr>
          <w:rFonts w:asciiTheme="majorBidi" w:hAnsiTheme="majorBidi" w:cstheme="majorBidi"/>
          <w:sz w:val="32"/>
          <w:szCs w:val="32"/>
          <w:u w:val="single"/>
          <w:rtl/>
          <w:lang w:val="en-US"/>
        </w:rPr>
      </w:pPr>
    </w:p>
    <w:p w14:paraId="043400CB" w14:textId="77777777" w:rsidR="00256FEB" w:rsidRPr="008D04AB" w:rsidRDefault="00A405F3" w:rsidP="00896AD7">
      <w:pPr>
        <w:pStyle w:val="Paragraphedeliste"/>
        <w:numPr>
          <w:ilvl w:val="0"/>
          <w:numId w:val="8"/>
        </w:numPr>
        <w:shd w:val="clear" w:color="auto" w:fill="B4C6E7" w:themeFill="accent1" w:themeFillTint="66"/>
        <w:bidi/>
        <w:spacing w:after="5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8D04A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  <w:t xml:space="preserve">في </w:t>
      </w:r>
      <w:r w:rsidR="00256FEB" w:rsidRPr="008D04AB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val="en-US"/>
        </w:rPr>
        <w:t>إعداد البرامج:</w:t>
      </w:r>
    </w:p>
    <w:p w14:paraId="5A0F2896" w14:textId="77777777" w:rsidR="00256FEB" w:rsidRPr="008D04AB" w:rsidRDefault="00256FEB" w:rsidP="00896AD7">
      <w:pPr>
        <w:bidi/>
        <w:spacing w:after="5"/>
        <w:jc w:val="both"/>
        <w:rPr>
          <w:rFonts w:asciiTheme="majorBidi" w:hAnsiTheme="majorBidi" w:cstheme="majorBidi"/>
          <w:b/>
          <w:bCs/>
          <w:color w:val="212121"/>
          <w:sz w:val="32"/>
          <w:szCs w:val="32"/>
          <w:rtl/>
          <w:lang w:val="en-US" w:bidi="ar-LB"/>
        </w:rPr>
      </w:pPr>
    </w:p>
    <w:p w14:paraId="1294EF37" w14:textId="53D5A7A0" w:rsidR="00A405F3" w:rsidRPr="008D04AB" w:rsidRDefault="00256FEB" w:rsidP="00896AD7">
      <w:pPr>
        <w:pStyle w:val="Paragraphedeliste"/>
        <w:numPr>
          <w:ilvl w:val="0"/>
          <w:numId w:val="9"/>
        </w:numPr>
        <w:bidi/>
        <w:spacing w:after="5"/>
        <w:jc w:val="both"/>
        <w:rPr>
          <w:rFonts w:asciiTheme="majorBidi" w:hAnsiTheme="majorBidi" w:cstheme="majorBidi"/>
          <w:sz w:val="32"/>
          <w:szCs w:val="32"/>
          <w:u w:val="single"/>
          <w:lang w:val="en-US"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لتطبيق خطة العمل الوطنية لتنفيذ القرار ١٣٢٥ حول المر</w:t>
      </w:r>
      <w:r w:rsidR="00443696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أ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ة </w:t>
      </w:r>
      <w:r w:rsidR="00443696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والسلام 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والامن، تقوم الهيئة بدور المنسق الوطني بين الجهات الرسمية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ووكالات الأمم المتحدة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 وهيئات المجتمع المدني،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إنفاذ خطة العمل التي أقرها مجلس الوزراء في أيلول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٢٠١٩. </w:t>
      </w:r>
    </w:p>
    <w:p w14:paraId="701279E5" w14:textId="77777777" w:rsidR="00443696" w:rsidRPr="008D04AB" w:rsidRDefault="00443696" w:rsidP="00443696">
      <w:pPr>
        <w:pStyle w:val="Paragraphedeliste"/>
        <w:bidi/>
        <w:spacing w:after="5"/>
        <w:jc w:val="both"/>
        <w:rPr>
          <w:rFonts w:asciiTheme="majorBidi" w:hAnsiTheme="majorBidi" w:cstheme="majorBidi"/>
          <w:sz w:val="32"/>
          <w:szCs w:val="32"/>
          <w:u w:val="single"/>
          <w:rtl/>
          <w:lang w:val="en-US" w:bidi="ar-LB"/>
        </w:rPr>
      </w:pPr>
    </w:p>
    <w:p w14:paraId="3E4AB387" w14:textId="57DCA83B" w:rsidR="00256FEB" w:rsidRPr="008D04AB" w:rsidRDefault="00BF3F0E" w:rsidP="00443696">
      <w:pPr>
        <w:pStyle w:val="PrformatHTML"/>
        <w:numPr>
          <w:ilvl w:val="0"/>
          <w:numId w:val="8"/>
        </w:numPr>
        <w:shd w:val="clear" w:color="auto" w:fill="B4C6E7" w:themeFill="accent1" w:themeFillTint="66"/>
        <w:bidi/>
        <w:jc w:val="both"/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lang w:bidi="ar-LB"/>
        </w:rPr>
      </w:pPr>
      <w:r w:rsidRPr="008D04AB"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rtl/>
          <w:lang w:bidi="ar-LB"/>
        </w:rPr>
        <w:t>في التصدّي ل</w:t>
      </w:r>
      <w:r w:rsidR="00A405F3" w:rsidRPr="008D04AB"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rtl/>
          <w:lang w:bidi="ar-LB"/>
        </w:rPr>
        <w:t>لوباء و</w:t>
      </w:r>
      <w:r w:rsidRPr="008D04AB"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rtl/>
        </w:rPr>
        <w:t xml:space="preserve">حماية النساء من العنف: </w:t>
      </w:r>
    </w:p>
    <w:p w14:paraId="52D620AD" w14:textId="77777777" w:rsidR="00BF3F0E" w:rsidRPr="008D04AB" w:rsidRDefault="00BF3F0E" w:rsidP="00896AD7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7BB0767E" w14:textId="5C773DEA" w:rsidR="00256FEB" w:rsidRPr="008D04AB" w:rsidRDefault="000C2E6D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  <w:r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قترحت 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الهيئة على الجهات الرسمية إتخاذ إجراءات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ال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تصدي لنتائج الجائحة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و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ح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ماية النساء</w:t>
      </w:r>
      <w:r w:rsidR="00A609A9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من العنف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</w:t>
      </w:r>
      <w:r w:rsidR="00A405F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ك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تعميم النائب العام لدى محكمة التمييز</w:t>
      </w:r>
      <w:r w:rsidR="00BF3F0E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="00256FEB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الذي طلب فيه من النيابات العامة الإستنئافية في المحافظات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:</w:t>
      </w:r>
    </w:p>
    <w:p w14:paraId="3BBEC452" w14:textId="77777777" w:rsidR="00256FEB" w:rsidRPr="008D04AB" w:rsidRDefault="00256FEB" w:rsidP="00896AD7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207E6412" w14:textId="77777777" w:rsidR="00256FEB" w:rsidRPr="008D04AB" w:rsidRDefault="00256FEB" w:rsidP="00896AD7">
      <w:pPr>
        <w:pStyle w:val="PrformatHTML"/>
        <w:numPr>
          <w:ilvl w:val="0"/>
          <w:numId w:val="5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الايعاز الى عناصر الضابطة العدلية بفتح محاضر فورية في جميع قضايا العنف الاسري، حتى في حالات الجرائم غير المشهودة.</w:t>
      </w:r>
    </w:p>
    <w:p w14:paraId="5334FA60" w14:textId="2A30D92F" w:rsidR="000A6420" w:rsidRPr="00EE7E09" w:rsidRDefault="00256FEB" w:rsidP="000A6420">
      <w:pPr>
        <w:pStyle w:val="PrformatHTML"/>
        <w:numPr>
          <w:ilvl w:val="0"/>
          <w:numId w:val="5"/>
        </w:numPr>
        <w:shd w:val="clear" w:color="auto" w:fill="FFFFFF"/>
        <w:bidi/>
        <w:spacing w:line="276" w:lineRule="auto"/>
        <w:jc w:val="both"/>
        <w:rPr>
          <w:rFonts w:asciiTheme="majorBidi" w:hAnsiTheme="majorBidi" w:cstheme="majorBidi"/>
          <w:color w:val="212121"/>
          <w:sz w:val="32"/>
          <w:szCs w:val="32"/>
        </w:rPr>
      </w:pP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عدم اشتراط حضور الضحية الى مركز الضابطة العدلية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للاستماع الى افادتها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5A138EA4" w14:textId="75AD7575" w:rsidR="000A6420" w:rsidRPr="00C40A48" w:rsidRDefault="000A6420" w:rsidP="00C40A48">
      <w:pPr>
        <w:pStyle w:val="Paragraphedeliste"/>
        <w:numPr>
          <w:ilvl w:val="0"/>
          <w:numId w:val="9"/>
        </w:numPr>
        <w:bidi/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  <w:lang w:bidi="ar-LB"/>
        </w:rPr>
      </w:pPr>
      <w:r w:rsidRPr="00C40A48">
        <w:rPr>
          <w:rFonts w:asciiTheme="majorBidi" w:hAnsiTheme="majorBidi" w:cstheme="majorBidi"/>
          <w:sz w:val="32"/>
          <w:szCs w:val="32"/>
          <w:rtl/>
          <w:lang w:bidi="ar-LB"/>
        </w:rPr>
        <w:t xml:space="preserve">عقدت الهيئة واللجنة الدولية للحقوقيين ندوة حول "قواعد الإثبات والممارسات الموصى بها في حالات العنف الجنسي والعنف المبني على النوع الاجتماعي في لبنان"، </w:t>
      </w:r>
      <w:r w:rsidRPr="00C40A48">
        <w:rPr>
          <w:rFonts w:asciiTheme="majorBidi" w:hAnsiTheme="majorBidi" w:cstheme="majorBidi" w:hint="cs"/>
          <w:sz w:val="32"/>
          <w:szCs w:val="32"/>
          <w:rtl/>
          <w:lang w:bidi="ar-LB"/>
        </w:rPr>
        <w:t xml:space="preserve">بهدف </w:t>
      </w:r>
      <w:r w:rsidRPr="00C40A48">
        <w:rPr>
          <w:rFonts w:asciiTheme="majorBidi" w:eastAsiaTheme="minorHAnsi" w:hAnsiTheme="majorBidi" w:cstheme="majorBidi"/>
          <w:sz w:val="32"/>
          <w:szCs w:val="32"/>
          <w:rtl/>
          <w:lang w:val="en-US"/>
        </w:rPr>
        <w:t>تحديد الثغرات وسبل معالجة مواطن القصور الموجودة في الإطار الإجرائي اللبناني</w:t>
      </w:r>
      <w:r w:rsidR="00EE7E09" w:rsidRPr="00C40A48">
        <w:rPr>
          <w:rFonts w:asciiTheme="majorBidi" w:eastAsiaTheme="minorHAnsi" w:hAnsiTheme="majorBidi" w:cstheme="majorBidi" w:hint="cs"/>
          <w:sz w:val="32"/>
          <w:szCs w:val="32"/>
          <w:rtl/>
          <w:lang w:val="en-US"/>
        </w:rPr>
        <w:t>.</w:t>
      </w:r>
    </w:p>
    <w:p w14:paraId="2780E123" w14:textId="77777777" w:rsidR="00BF3F0E" w:rsidRPr="008D04AB" w:rsidRDefault="00BF3F0E" w:rsidP="00C40A48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</w:rPr>
      </w:pPr>
    </w:p>
    <w:p w14:paraId="1649BB68" w14:textId="77777777" w:rsidR="00BF3F0E" w:rsidRPr="008D04AB" w:rsidRDefault="00BF3F0E" w:rsidP="00896AD7">
      <w:pPr>
        <w:pStyle w:val="PrformatHTML"/>
        <w:numPr>
          <w:ilvl w:val="0"/>
          <w:numId w:val="8"/>
        </w:numPr>
        <w:shd w:val="clear" w:color="auto" w:fill="B4C6E7" w:themeFill="accent1" w:themeFillTint="66"/>
        <w:bidi/>
        <w:jc w:val="both"/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rtl/>
        </w:rPr>
      </w:pPr>
      <w:r w:rsidRPr="008D04AB">
        <w:rPr>
          <w:rFonts w:asciiTheme="majorBidi" w:hAnsiTheme="majorBidi" w:cstheme="majorBidi"/>
          <w:b/>
          <w:bCs/>
          <w:color w:val="212121"/>
          <w:sz w:val="32"/>
          <w:szCs w:val="32"/>
          <w:u w:val="single"/>
          <w:rtl/>
        </w:rPr>
        <w:t>في المستوى التشاركي ورفع الوعي:</w:t>
      </w:r>
    </w:p>
    <w:p w14:paraId="25A74765" w14:textId="77777777" w:rsidR="00256FEB" w:rsidRPr="008D04AB" w:rsidRDefault="00256FEB" w:rsidP="00896AD7">
      <w:pPr>
        <w:pStyle w:val="PrformatHTML"/>
        <w:shd w:val="clear" w:color="auto" w:fill="FFFFFF"/>
        <w:bidi/>
        <w:ind w:left="1800"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</w:p>
    <w:p w14:paraId="1D6AB387" w14:textId="6608CA23" w:rsidR="00256FEB" w:rsidRPr="008D04A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أطلقت الهيئة حملات توع</w:t>
      </w:r>
      <w:r w:rsidR="00A609A9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وي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ة أبرزها حملة تحت عنوان "الحجر الصحّي يحميكِ من الوباء، 1745 يحميكِ من العنف الأسريّ"، بالتعاون مع المديرية العامة لقوى الأمن الداخلي، 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للتبليغ 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ع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ن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حال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ات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عنف 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أسريّ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2176009C" w14:textId="77777777" w:rsidR="00896AD7" w:rsidRPr="008D04AB" w:rsidRDefault="00896AD7" w:rsidP="00896AD7">
      <w:pPr>
        <w:pStyle w:val="PrformatHTML"/>
        <w:shd w:val="clear" w:color="auto" w:fill="FFFFFF"/>
        <w:bidi/>
        <w:ind w:left="720"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</w:p>
    <w:p w14:paraId="39A5BB1E" w14:textId="39EC9ACF" w:rsidR="00256FEB" w:rsidRPr="008D04A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أطلقت الهيئة حملة</w:t>
      </w:r>
      <w:r w:rsidR="000C2E6D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ً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توع</w:t>
      </w:r>
      <w:r w:rsidR="00A609A9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وي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ة 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ل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عدم الخضوع لطلبات الإبتزاز والتحرش الجنسي</w:t>
      </w:r>
      <w:r w:rsidR="00A609A9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 xml:space="preserve"> عبر الإنترنت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، وإبلاغ </w:t>
      </w:r>
      <w:r w:rsidR="00443696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قوى الأمن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</w:t>
      </w:r>
      <w:r w:rsidR="00A609A9" w:rsidRPr="008D04AB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عنها.</w:t>
      </w:r>
    </w:p>
    <w:p w14:paraId="02F7D38E" w14:textId="77777777" w:rsidR="00A609A9" w:rsidRPr="008D04AB" w:rsidRDefault="00A609A9" w:rsidP="00C40A48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2786C5E5" w14:textId="7163D29D" w:rsidR="00256FE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lastRenderedPageBreak/>
        <w:t>ع</w:t>
      </w:r>
      <w:r w:rsidR="00A609A9" w:rsidRP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قدت الهيئة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اجتماع</w:t>
      </w:r>
      <w:r w:rsidR="00A609A9" w:rsidRP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اً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مو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ّ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سع</w:t>
      </w:r>
      <w:r w:rsidR="00A609A9" w:rsidRP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اً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مع ممثلي عدد من 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هيئات 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المجتمع المدني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بمشاركة وزارة الشؤون الاجتماعية، 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ل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استعراض التحديات 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أمام 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تلك </w:t>
      </w:r>
      <w:r w:rsidR="00A405F3"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الهيئات، </w:t>
      </w:r>
      <w:r w:rsidRPr="00EE7E09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في تأمين الحماية للنساء من العنف الأسري</w:t>
      </w:r>
      <w:r w:rsidR="00EE7E09">
        <w:rPr>
          <w:rFonts w:asciiTheme="majorBidi" w:hAnsiTheme="majorBidi" w:cstheme="majorBidi" w:hint="cs"/>
          <w:color w:val="212121"/>
          <w:sz w:val="32"/>
          <w:szCs w:val="32"/>
          <w:rtl/>
          <w:lang w:bidi="ar-LB"/>
        </w:rPr>
        <w:t>.</w:t>
      </w:r>
    </w:p>
    <w:p w14:paraId="1D93B644" w14:textId="77777777" w:rsidR="00EE7E09" w:rsidRPr="00EE7E09" w:rsidRDefault="00EE7E09" w:rsidP="00EE7E09">
      <w:pPr>
        <w:pStyle w:val="PrformatHTML"/>
        <w:shd w:val="clear" w:color="auto" w:fill="FFFFFF"/>
        <w:bidi/>
        <w:ind w:left="720"/>
        <w:jc w:val="both"/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</w:pPr>
    </w:p>
    <w:p w14:paraId="78629B49" w14:textId="6A36440A" w:rsidR="00256FEB" w:rsidRPr="008D04AB" w:rsidRDefault="00256FEB" w:rsidP="00896AD7">
      <w:pPr>
        <w:pStyle w:val="PrformatHTML"/>
        <w:numPr>
          <w:ilvl w:val="0"/>
          <w:numId w:val="9"/>
        </w:numPr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بمناسبة اليوم العالمي للقضاء على العنف ضد المرأة، أطلقت الهيئة</w:t>
      </w:r>
      <w:r w:rsidR="00192E9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بالشراكة مع وكالات الامم المتحدة</w:t>
      </w:r>
      <w:r w:rsidR="00192E9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حملة الـ16 يوماً لمناهضة العنف القائم على النوع الاجتماعي</w:t>
      </w:r>
      <w:r w:rsidR="00192E9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،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 والاعتداء اللفظي أو الجسدي أو الجنسي. </w:t>
      </w:r>
      <w:r w:rsidR="00192E9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و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ركزت </w:t>
      </w:r>
      <w:r w:rsidR="00192E93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الحملة 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على ضرورة ضمان سلامة النساء والفتيات </w:t>
      </w:r>
      <w:r w:rsidR="00896AD7"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 xml:space="preserve">من العنف </w:t>
      </w:r>
      <w:r w:rsidRPr="008D04AB">
        <w:rPr>
          <w:rFonts w:asciiTheme="majorBidi" w:hAnsiTheme="majorBidi" w:cstheme="majorBidi"/>
          <w:color w:val="212121"/>
          <w:sz w:val="32"/>
          <w:szCs w:val="32"/>
          <w:rtl/>
          <w:lang w:bidi="ar-LB"/>
        </w:rPr>
        <w:t>في أي مكان وزمان.</w:t>
      </w:r>
    </w:p>
    <w:p w14:paraId="3C755AE1" w14:textId="32301B65" w:rsidR="00C40A48" w:rsidRPr="00C40A48" w:rsidRDefault="00C40A48" w:rsidP="00C40A48">
      <w:pPr>
        <w:pStyle w:val="PrformatHTML"/>
        <w:shd w:val="clear" w:color="auto" w:fill="FFFFFF"/>
        <w:bidi/>
        <w:jc w:val="both"/>
        <w:rPr>
          <w:rFonts w:asciiTheme="majorBidi" w:hAnsiTheme="majorBidi" w:cstheme="majorBidi"/>
          <w:color w:val="212121"/>
          <w:sz w:val="32"/>
          <w:szCs w:val="32"/>
          <w:lang w:bidi="ar-LB"/>
        </w:rPr>
      </w:pPr>
    </w:p>
    <w:sectPr w:rsidR="00C40A48" w:rsidRPr="00C40A48" w:rsidSect="00332D49">
      <w:footerReference w:type="even" r:id="rId8"/>
      <w:footerReference w:type="default" r:id="rId9"/>
      <w:pgSz w:w="11900" w:h="16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42033" w14:textId="77777777" w:rsidR="003D537B" w:rsidRDefault="003D537B" w:rsidP="00256FEB">
      <w:r>
        <w:separator/>
      </w:r>
    </w:p>
  </w:endnote>
  <w:endnote w:type="continuationSeparator" w:id="0">
    <w:p w14:paraId="39B2EBD3" w14:textId="77777777" w:rsidR="003D537B" w:rsidRDefault="003D537B" w:rsidP="0025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484075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C618D45" w14:textId="77777777" w:rsidR="00256FEB" w:rsidRDefault="00256FEB" w:rsidP="00DD51E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5755B99" w14:textId="77777777" w:rsidR="00256FEB" w:rsidRDefault="00256F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694714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3C3FAEB" w14:textId="77777777" w:rsidR="00256FEB" w:rsidRDefault="00256FEB" w:rsidP="00DD51E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896AD7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07DB667" w14:textId="77777777" w:rsidR="00256FEB" w:rsidRDefault="00256FE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A2901" w14:textId="77777777" w:rsidR="003D537B" w:rsidRDefault="003D537B" w:rsidP="00256FEB">
      <w:r>
        <w:separator/>
      </w:r>
    </w:p>
  </w:footnote>
  <w:footnote w:type="continuationSeparator" w:id="0">
    <w:p w14:paraId="706C1B45" w14:textId="77777777" w:rsidR="003D537B" w:rsidRDefault="003D537B" w:rsidP="0025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5DB"/>
    <w:multiLevelType w:val="hybridMultilevel"/>
    <w:tmpl w:val="4C3C245A"/>
    <w:lvl w:ilvl="0" w:tplc="796CC6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1572E"/>
    <w:multiLevelType w:val="hybridMultilevel"/>
    <w:tmpl w:val="42F6441E"/>
    <w:lvl w:ilvl="0" w:tplc="813A2294">
      <w:start w:val="1"/>
      <w:numFmt w:val="decimalFullWidth"/>
      <w:lvlText w:val="%1-"/>
      <w:lvlJc w:val="left"/>
      <w:pPr>
        <w:ind w:left="108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50754"/>
    <w:multiLevelType w:val="hybridMultilevel"/>
    <w:tmpl w:val="5554D7A6"/>
    <w:lvl w:ilvl="0" w:tplc="B95442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04B4B"/>
    <w:multiLevelType w:val="hybridMultilevel"/>
    <w:tmpl w:val="3698F6C0"/>
    <w:lvl w:ilvl="0" w:tplc="B5D67C04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C0A7110"/>
    <w:multiLevelType w:val="hybridMultilevel"/>
    <w:tmpl w:val="D4D80BEE"/>
    <w:lvl w:ilvl="0" w:tplc="B82E3D7A">
      <w:start w:val="1"/>
      <w:numFmt w:val="decimal"/>
      <w:lvlText w:val="%1-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0DB2130"/>
    <w:multiLevelType w:val="hybridMultilevel"/>
    <w:tmpl w:val="EC200D94"/>
    <w:lvl w:ilvl="0" w:tplc="450C5B4C">
      <w:start w:val="1"/>
      <w:numFmt w:val="decimal"/>
      <w:lvlText w:val="%1-"/>
      <w:lvlJc w:val="left"/>
      <w:pPr>
        <w:ind w:left="900" w:hanging="360"/>
      </w:pPr>
      <w:rPr>
        <w:rFonts w:hint="default"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2AF536E"/>
    <w:multiLevelType w:val="hybridMultilevel"/>
    <w:tmpl w:val="6B646794"/>
    <w:lvl w:ilvl="0" w:tplc="6B400BFE">
      <w:start w:val="1"/>
      <w:numFmt w:val="decimalFullWidth"/>
      <w:lvlText w:val="%1-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494"/>
    <w:multiLevelType w:val="hybridMultilevel"/>
    <w:tmpl w:val="02B2B5CA"/>
    <w:lvl w:ilvl="0" w:tplc="B476C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A0165"/>
    <w:multiLevelType w:val="hybridMultilevel"/>
    <w:tmpl w:val="7BBAF9C0"/>
    <w:lvl w:ilvl="0" w:tplc="E43ED9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  <w:lang w:bidi="ar-L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1264E"/>
    <w:multiLevelType w:val="hybridMultilevel"/>
    <w:tmpl w:val="E17C0830"/>
    <w:lvl w:ilvl="0" w:tplc="966C54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A117A"/>
    <w:multiLevelType w:val="hybridMultilevel"/>
    <w:tmpl w:val="24984200"/>
    <w:lvl w:ilvl="0" w:tplc="A768C2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EB"/>
    <w:rsid w:val="000227DC"/>
    <w:rsid w:val="000378B0"/>
    <w:rsid w:val="000A6420"/>
    <w:rsid w:val="000C2E6D"/>
    <w:rsid w:val="00192E93"/>
    <w:rsid w:val="00237572"/>
    <w:rsid w:val="00247269"/>
    <w:rsid w:val="00256FEB"/>
    <w:rsid w:val="00332D49"/>
    <w:rsid w:val="0034221C"/>
    <w:rsid w:val="00355B82"/>
    <w:rsid w:val="003B5760"/>
    <w:rsid w:val="003D537B"/>
    <w:rsid w:val="00443696"/>
    <w:rsid w:val="00535079"/>
    <w:rsid w:val="00536C34"/>
    <w:rsid w:val="00585D3E"/>
    <w:rsid w:val="0063469F"/>
    <w:rsid w:val="00681DDE"/>
    <w:rsid w:val="006F5CE7"/>
    <w:rsid w:val="007068B1"/>
    <w:rsid w:val="00841C55"/>
    <w:rsid w:val="00853127"/>
    <w:rsid w:val="00896AD7"/>
    <w:rsid w:val="008C05B0"/>
    <w:rsid w:val="008D04AB"/>
    <w:rsid w:val="00982819"/>
    <w:rsid w:val="00A405F3"/>
    <w:rsid w:val="00A5590E"/>
    <w:rsid w:val="00A609A9"/>
    <w:rsid w:val="00A66AFF"/>
    <w:rsid w:val="00BE2285"/>
    <w:rsid w:val="00BF3F0E"/>
    <w:rsid w:val="00C40A48"/>
    <w:rsid w:val="00CF7E82"/>
    <w:rsid w:val="00D20EEE"/>
    <w:rsid w:val="00E71F40"/>
    <w:rsid w:val="00E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9F60"/>
  <w15:chartTrackingRefBased/>
  <w15:docId w15:val="{48C2DDF0-3FBD-DC41-9A1A-4E066726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FEB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256F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rsid w:val="00256FEB"/>
    <w:rPr>
      <w:rFonts w:ascii="Courier New" w:eastAsia="Times New Roman" w:hAnsi="Courier New" w:cs="Courier New"/>
      <w:sz w:val="20"/>
      <w:szCs w:val="20"/>
      <w:lang w:val="en-US"/>
    </w:rPr>
  </w:style>
  <w:style w:type="paragraph" w:styleId="Paragraphedeliste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"/>
    <w:basedOn w:val="Normal"/>
    <w:link w:val="ParagraphedelisteCar"/>
    <w:uiPriority w:val="34"/>
    <w:qFormat/>
    <w:rsid w:val="00256FEB"/>
    <w:pPr>
      <w:ind w:left="720"/>
      <w:contextualSpacing/>
    </w:pPr>
  </w:style>
  <w:style w:type="character" w:customStyle="1" w:styleId="ParagraphedelisteCar">
    <w:name w:val="Paragraphe de liste Car"/>
    <w:aliases w:val="Numbered Paragraph Car,Main numbered paragraph Car,References Car,Numbered List Paragraph Car,123 List Paragraph Car,Bullets Car,List Paragraph (numbered (a)) Car,List Paragraph nowy Car,Liste 1 Car,List_Paragraph Car"/>
    <w:basedOn w:val="Policepardfaut"/>
    <w:link w:val="Paragraphedeliste"/>
    <w:uiPriority w:val="34"/>
    <w:locked/>
    <w:rsid w:val="00256FEB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56F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6FEB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  <w:uiPriority w:val="99"/>
    <w:semiHidden/>
    <w:unhideWhenUsed/>
    <w:rsid w:val="00256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FFFF7-D609-4B80-96F5-ED6203DF0EFE}"/>
</file>

<file path=customXml/itemProps2.xml><?xml version="1.0" encoding="utf-8"?>
<ds:datastoreItem xmlns:ds="http://schemas.openxmlformats.org/officeDocument/2006/customXml" ds:itemID="{5527FB7B-DC3A-4EDB-85E8-AEEA2AD1B289}"/>
</file>

<file path=customXml/itemProps3.xml><?xml version="1.0" encoding="utf-8"?>
<ds:datastoreItem xmlns:ds="http://schemas.openxmlformats.org/officeDocument/2006/customXml" ds:itemID="{17618444-BF98-4147-84CC-5FE79F08AB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Chemaly;Rana El Khoury</dc:creator>
  <cp:keywords/>
  <dc:description/>
  <cp:lastModifiedBy>Rana El Khoury</cp:lastModifiedBy>
  <cp:revision>16</cp:revision>
  <dcterms:created xsi:type="dcterms:W3CDTF">2021-01-11T14:29:00Z</dcterms:created>
  <dcterms:modified xsi:type="dcterms:W3CDTF">2021-01-14T17:47:00Z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