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A08A" w14:textId="1309E14D" w:rsidR="000A0EFB" w:rsidRPr="005A2C69" w:rsidRDefault="005A2C69" w:rsidP="000A0EFB">
      <w:pPr>
        <w:pStyle w:val="Paragraphedeliste"/>
        <w:spacing w:line="276" w:lineRule="auto"/>
        <w:ind w:left="98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LB"/>
        </w:rPr>
      </w:pPr>
      <w:bookmarkStart w:id="0" w:name="_GoBack"/>
      <w:r w:rsidRPr="005A2C6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LB"/>
        </w:rPr>
        <w:t>VIDEO 8</w:t>
      </w:r>
    </w:p>
    <w:bookmarkEnd w:id="0"/>
    <w:p w14:paraId="7D151100" w14:textId="77777777" w:rsidR="005A2C69" w:rsidRPr="00190E0D" w:rsidRDefault="005A2C69" w:rsidP="000A0EFB">
      <w:pPr>
        <w:pStyle w:val="Paragraphedeliste"/>
        <w:spacing w:line="276" w:lineRule="auto"/>
        <w:ind w:left="98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LB"/>
        </w:rPr>
      </w:pPr>
    </w:p>
    <w:p w14:paraId="4D785CAE" w14:textId="77777777" w:rsidR="00190E0D" w:rsidRPr="00190E0D" w:rsidRDefault="00190E0D" w:rsidP="00190E0D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90E0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جلسة مناقشة تقرير لبنان الوطني الثالث</w:t>
      </w:r>
    </w:p>
    <w:p w14:paraId="1D88614B" w14:textId="77777777" w:rsidR="00190E0D" w:rsidRPr="00190E0D" w:rsidRDefault="00190E0D" w:rsidP="00190E0D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90E0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ضمن آلية الاستعراض الدوري الشامل لحالة حقوق الانسان</w:t>
      </w:r>
    </w:p>
    <w:p w14:paraId="14094B2C" w14:textId="7FB6D5FC" w:rsidR="00190E0D" w:rsidRPr="00190E0D" w:rsidRDefault="00190E0D" w:rsidP="00190E0D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90E0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كلمة سعادة قاضي عبد الله أحمد</w:t>
      </w:r>
    </w:p>
    <w:p w14:paraId="243C1FF5" w14:textId="331D3B42" w:rsidR="00190E0D" w:rsidRPr="00190E0D" w:rsidRDefault="00190E0D" w:rsidP="00190E0D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90E0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مدير عام وزارة الشؤون الاجتماعية</w:t>
      </w:r>
    </w:p>
    <w:p w14:paraId="03770EEC" w14:textId="3E0EADF5" w:rsidR="00190E0D" w:rsidRPr="00190E0D" w:rsidRDefault="00190E0D" w:rsidP="00190E0D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90E0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بيروت، في ٨/١/٢٠٢١</w:t>
      </w:r>
    </w:p>
    <w:p w14:paraId="33207860" w14:textId="77777777" w:rsidR="00190E0D" w:rsidRPr="00190E0D" w:rsidRDefault="00190E0D" w:rsidP="001F5236">
      <w:pPr>
        <w:bidi/>
        <w:spacing w:line="276" w:lineRule="auto"/>
        <w:ind w:left="-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0CBE7CFE" w14:textId="0E1E2E72" w:rsidR="001130A6" w:rsidRPr="00190E0D" w:rsidRDefault="001130A6" w:rsidP="00190E0D">
      <w:pPr>
        <w:bidi/>
        <w:spacing w:line="276" w:lineRule="auto"/>
        <w:ind w:left="-360" w:firstLine="360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لا يكفي </w:t>
      </w:r>
      <w:r w:rsidR="005A7A03" w:rsidRPr="00190E0D">
        <w:rPr>
          <w:rFonts w:asciiTheme="majorBidi" w:hAnsiTheme="majorBidi" w:cstheme="majorBidi"/>
          <w:sz w:val="32"/>
          <w:szCs w:val="32"/>
          <w:rtl/>
          <w:lang w:bidi="ar-LB"/>
        </w:rPr>
        <w:t>أ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ن نعترف ب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ال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حقوق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ف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يجب أن نساعد المواطن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على </w:t>
      </w:r>
      <w:r w:rsidR="002A4BB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الوصول إ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لى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هذه الحقوق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والحصول عليها.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ف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في وزارة الشؤون الاجتماعية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عندما نتحدث عن حقوق نتحدث عن خدمات.</w:t>
      </w:r>
    </w:p>
    <w:p w14:paraId="67AE5693" w14:textId="20D88E49" w:rsidR="00A92660" w:rsidRPr="00190E0D" w:rsidRDefault="00190E0D" w:rsidP="00190E0D">
      <w:pPr>
        <w:bidi/>
        <w:spacing w:line="276" w:lineRule="auto"/>
        <w:ind w:left="-360" w:firstLine="360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فنحن 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نعمل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اليوم على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إيصال هذه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الخدمات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إلى المواطن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وإلى المقيم على الأراضي اللبنانية بأبسط الاجر</w:t>
      </w:r>
      <w:r w:rsidR="002A4BB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ءات،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و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نعمل على تبسيط الاجراءات للوصول إلى هذه الخدمات على نظام 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أتمتة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أي </w:t>
      </w:r>
      <w:r>
        <w:rPr>
          <w:rFonts w:asciiTheme="majorBidi" w:hAnsiTheme="majorBidi" w:cstheme="majorBidi"/>
          <w:sz w:val="32"/>
          <w:szCs w:val="32"/>
          <w:lang w:bidi="ar-LB"/>
        </w:rPr>
        <w:t>Automation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في وزارة الشؤون الاجتماعية،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و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على نظام تقييم ورصد وأيضاً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و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على مشروع الهدف منه مكافحة 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الفساد القطاعي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.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إضافة الى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ذلك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نعمل على اعادة توزيع مراكز الخدمات الإنمائية على كافة الأراضي اللبنانية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وفقاً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إلى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معاييرعلمية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وإلى انشاء نظام ربط بين مر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كز الخدمات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الإنمائية،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والجمعيات التي تقد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ّ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م خدمات متخص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ّ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صة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بحيث 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أن الخدمة التي لا تقدمها الوزارة في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مراكز 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الخدمات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الإنمائية،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ت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ح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ا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ل إ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لى الجمعيات 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التي تقد</w:t>
      </w: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ّ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م خدمات </w:t>
      </w:r>
      <w:r w:rsidR="001F5236" w:rsidRPr="00190E0D">
        <w:rPr>
          <w:rFonts w:asciiTheme="majorBidi" w:hAnsiTheme="majorBidi" w:cstheme="majorBidi"/>
          <w:sz w:val="32"/>
          <w:szCs w:val="32"/>
          <w:rtl/>
          <w:lang w:bidi="ar-LB"/>
        </w:rPr>
        <w:t>متخصصة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للحصول على الخدمة.</w:t>
      </w:r>
    </w:p>
    <w:p w14:paraId="7FC2341F" w14:textId="02BA1028" w:rsidR="00A92660" w:rsidRPr="00190E0D" w:rsidRDefault="004037EA" w:rsidP="00190E0D">
      <w:pPr>
        <w:bidi/>
        <w:spacing w:line="276" w:lineRule="auto"/>
        <w:ind w:left="-360" w:firstLine="360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كذلك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نعمل على استراتيجيات عديدة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منها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"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الاسترايجية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1E217D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ال</w:t>
      </w:r>
      <w:r w:rsidR="001130A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وطنية 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لحماية المرأة والطفل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"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به</w:t>
      </w:r>
      <w:r w:rsidR="004343DA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دف حماية الأطفال المعرضين للخطر، 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وأيضاً الأطفال المخالفين للقانون، وبهدف حماية المرأة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.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وهذه الاستراتيجية تبعتها استراتيجيات أخرى لها علاقة منها بمكافحة تزويج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الأطفال،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"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إستراتيجية لتنمية الطفولة المبكرة.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"</w:t>
      </w:r>
    </w:p>
    <w:p w14:paraId="58B7EB7F" w14:textId="2A6F79BC" w:rsidR="00A92660" w:rsidRPr="00190E0D" w:rsidRDefault="004037EA" w:rsidP="00190E0D">
      <w:pPr>
        <w:bidi/>
        <w:spacing w:line="276" w:lineRule="auto"/>
        <w:ind w:left="-360" w:firstLine="360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كما عملت الوزارة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على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"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>الاستراتيجية الوطنية لكبار السن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ّ"،</w:t>
      </w:r>
      <w:r w:rsidR="00A92660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ونعمل اليوم على الاستراتيجية الوطنية للأشخاص المعوقين.</w:t>
      </w:r>
    </w:p>
    <w:p w14:paraId="23EE9A96" w14:textId="3F1B5B57" w:rsidR="00A92660" w:rsidRPr="00190E0D" w:rsidRDefault="00A92660" w:rsidP="00190E0D">
      <w:pPr>
        <w:bidi/>
        <w:spacing w:line="276" w:lineRule="auto"/>
        <w:ind w:left="-360" w:firstLine="360"/>
        <w:jc w:val="both"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إضافةً إلى ذلك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نعمل أيضاً على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"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استراتيجية وطنية للحماية ا</w:t>
      </w:r>
      <w:r w:rsidR="007C6C8B" w:rsidRPr="00190E0D">
        <w:rPr>
          <w:rFonts w:asciiTheme="majorBidi" w:hAnsiTheme="majorBidi" w:cstheme="majorBidi"/>
          <w:sz w:val="32"/>
          <w:szCs w:val="32"/>
          <w:rtl/>
          <w:lang w:bidi="ar-LB"/>
        </w:rPr>
        <w:t>لاجتماعية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"،</w:t>
      </w:r>
      <w:r w:rsidR="007C6C8B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بهدف مكافحة خاصةً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الفقر، و</w:t>
      </w:r>
      <w:r w:rsidR="007C6C8B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من 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مشروع الفقر الذي انشئناه في وزارة الشؤون الاجتماعية منذ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ال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عام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٢٠١٠، 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نريد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lastRenderedPageBreak/>
        <w:t xml:space="preserve">اليوم </w:t>
      </w: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أن نستهدف ما لا يقل</w:t>
      </w:r>
      <w:r w:rsidR="002A4BB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عن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٢٠٠.٠٠٠</w:t>
      </w:r>
      <w:r w:rsidR="002A4BB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7C6C8B" w:rsidRPr="00190E0D">
        <w:rPr>
          <w:rFonts w:asciiTheme="majorBidi" w:hAnsiTheme="majorBidi" w:cstheme="majorBidi"/>
          <w:sz w:val="32"/>
          <w:szCs w:val="32"/>
          <w:rtl/>
          <w:lang w:bidi="ar-LB"/>
        </w:rPr>
        <w:t>أسرة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7C6C8B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سواء من خلال دعم مادي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7C6C8B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وأيضاً</w:t>
      </w:r>
      <w:r w:rsidR="002A4BB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من خلال المساعدة الصحية والمساعدة التربوية، وأيضاً من خلال مساعدات وخدمات اجتماعية.</w:t>
      </w:r>
    </w:p>
    <w:p w14:paraId="634CF7BA" w14:textId="05914AE9" w:rsidR="002A4BB6" w:rsidRPr="00190E0D" w:rsidRDefault="004037EA" w:rsidP="00190E0D">
      <w:pPr>
        <w:bidi/>
        <w:spacing w:line="276" w:lineRule="auto"/>
        <w:ind w:left="-360" w:firstLine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190E0D">
        <w:rPr>
          <w:rFonts w:asciiTheme="majorBidi" w:hAnsiTheme="majorBidi" w:cstheme="majorBidi"/>
          <w:sz w:val="32"/>
          <w:szCs w:val="32"/>
          <w:rtl/>
          <w:lang w:bidi="ar-LB"/>
        </w:rPr>
        <w:t>وكذلك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>،</w:t>
      </w:r>
      <w:r w:rsidR="002A4BB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190E0D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في </w:t>
      </w:r>
      <w:r w:rsidR="002A4BB6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موضوع </w:t>
      </w:r>
      <w:r w:rsidR="007C6C8B" w:rsidRPr="00190E0D">
        <w:rPr>
          <w:rFonts w:asciiTheme="majorBidi" w:hAnsiTheme="majorBidi" w:cstheme="majorBidi"/>
          <w:color w:val="000000" w:themeColor="text1"/>
          <w:sz w:val="32"/>
          <w:szCs w:val="32"/>
          <w:rtl/>
          <w:lang w:bidi="ar-LB"/>
        </w:rPr>
        <w:t>انفجار</w:t>
      </w:r>
      <w:r w:rsidR="007C6C8B" w:rsidRPr="00190E0D">
        <w:rPr>
          <w:rFonts w:asciiTheme="majorBidi" w:hAnsiTheme="majorBidi" w:cstheme="majorBidi"/>
          <w:sz w:val="32"/>
          <w:szCs w:val="32"/>
          <w:rtl/>
          <w:lang w:bidi="ar-LB"/>
        </w:rPr>
        <w:t xml:space="preserve"> </w:t>
      </w:r>
      <w:r w:rsidR="00505599"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-LB"/>
        </w:rPr>
        <w:t xml:space="preserve">مرفأ </w:t>
      </w:r>
      <w:r w:rsidR="00505599"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بيروت</w:t>
      </w:r>
      <w:r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، ساعدت الوزارة </w:t>
      </w:r>
      <w:r w:rsidR="002A4BB6"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الأسر</w:t>
      </w:r>
      <w:r w:rsidR="00190E0D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،</w:t>
      </w:r>
      <w:r w:rsidR="002A4BB6"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خاصةً أسر كبار </w:t>
      </w:r>
      <w:r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السن وأسر المعوقين، وقدمت</w:t>
      </w:r>
      <w:r w:rsidR="002A4BB6"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الكثير من المواد </w:t>
      </w:r>
      <w:r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الغذائية والمساعدات العينية،</w:t>
      </w:r>
      <w:r w:rsidR="002A4BB6"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إضافةً إلى الدعم النفسي والاجتماعي</w:t>
      </w:r>
      <w:r w:rsidR="00190E0D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>،</w:t>
      </w:r>
      <w:r w:rsidR="002A4BB6" w:rsidRPr="00190E0D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خاصةً إلى الأطفال والنساء.</w:t>
      </w:r>
    </w:p>
    <w:p w14:paraId="2768B778" w14:textId="0092FC0D" w:rsidR="006911C1" w:rsidRPr="00190E0D" w:rsidRDefault="002A4BB6" w:rsidP="00190E0D">
      <w:pPr>
        <w:bidi/>
        <w:spacing w:line="276" w:lineRule="auto"/>
        <w:ind w:left="-360" w:firstLine="360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90E0D">
        <w:rPr>
          <w:rFonts w:asciiTheme="majorBidi" w:hAnsiTheme="majorBidi" w:cstheme="majorBidi"/>
          <w:sz w:val="32"/>
          <w:szCs w:val="32"/>
          <w:rtl/>
        </w:rPr>
        <w:t xml:space="preserve">أما </w:t>
      </w:r>
      <w:r w:rsidR="00190E0D">
        <w:rPr>
          <w:rFonts w:asciiTheme="majorBidi" w:hAnsiTheme="majorBidi" w:cstheme="majorBidi" w:hint="cs"/>
          <w:sz w:val="32"/>
          <w:szCs w:val="32"/>
          <w:rtl/>
        </w:rPr>
        <w:t xml:space="preserve">في </w:t>
      </w:r>
      <w:r w:rsidRPr="00190E0D">
        <w:rPr>
          <w:rFonts w:asciiTheme="majorBidi" w:hAnsiTheme="majorBidi" w:cstheme="majorBidi"/>
          <w:sz w:val="32"/>
          <w:szCs w:val="32"/>
          <w:rtl/>
        </w:rPr>
        <w:t>موضوع النازحين السوريين</w:t>
      </w:r>
      <w:r w:rsidR="00190E0D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190E0D">
        <w:rPr>
          <w:rFonts w:asciiTheme="majorBidi" w:hAnsiTheme="majorBidi" w:cstheme="majorBidi"/>
          <w:sz w:val="32"/>
          <w:szCs w:val="32"/>
          <w:rtl/>
        </w:rPr>
        <w:t xml:space="preserve"> فنحن اليوم نعمل مع المجتمع الدولي على مساعدة هؤلاء النازحين السوريين على تخطي المرحلة الصعبة من النزوح وعلى تخفيف قدر المستطاع من التوتر بينهم وبين المجتمع المضيف، وعلى مساعدتهم في ك</w:t>
      </w:r>
      <w:r w:rsidR="009101AA" w:rsidRPr="00190E0D">
        <w:rPr>
          <w:rFonts w:asciiTheme="majorBidi" w:hAnsiTheme="majorBidi" w:cstheme="majorBidi"/>
          <w:sz w:val="32"/>
          <w:szCs w:val="32"/>
          <w:rtl/>
        </w:rPr>
        <w:t>افة الخدمات الاجتماعية الممكنة.</w:t>
      </w:r>
    </w:p>
    <w:sectPr w:rsidR="006911C1" w:rsidRPr="00190E0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6818" w14:textId="77777777" w:rsidR="00666E21" w:rsidRDefault="00666E21" w:rsidP="00190E0D">
      <w:pPr>
        <w:spacing w:after="0" w:line="240" w:lineRule="auto"/>
      </w:pPr>
      <w:r>
        <w:separator/>
      </w:r>
    </w:p>
  </w:endnote>
  <w:endnote w:type="continuationSeparator" w:id="0">
    <w:p w14:paraId="5C68B1F3" w14:textId="77777777" w:rsidR="00666E21" w:rsidRDefault="00666E21" w:rsidP="001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246316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F8E7CE" w14:textId="07EA2838" w:rsidR="00190E0D" w:rsidRDefault="00190E0D" w:rsidP="009D1E7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B14035" w14:textId="77777777" w:rsidR="00190E0D" w:rsidRDefault="00190E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60574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4BDB86" w14:textId="483288B1" w:rsidR="00190E0D" w:rsidRDefault="00190E0D" w:rsidP="009D1E7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A1F42A0" w14:textId="77777777" w:rsidR="00190E0D" w:rsidRDefault="00190E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CA9A" w14:textId="77777777" w:rsidR="00666E21" w:rsidRDefault="00666E21" w:rsidP="00190E0D">
      <w:pPr>
        <w:spacing w:after="0" w:line="240" w:lineRule="auto"/>
      </w:pPr>
      <w:r>
        <w:separator/>
      </w:r>
    </w:p>
  </w:footnote>
  <w:footnote w:type="continuationSeparator" w:id="0">
    <w:p w14:paraId="5EC6BE97" w14:textId="77777777" w:rsidR="00666E21" w:rsidRDefault="00666E21" w:rsidP="0019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3070"/>
    <w:multiLevelType w:val="hybridMultilevel"/>
    <w:tmpl w:val="7B7CAB1E"/>
    <w:lvl w:ilvl="0" w:tplc="75B6391E">
      <w:numFmt w:val="bullet"/>
      <w:lvlText w:val="-"/>
      <w:lvlJc w:val="left"/>
      <w:pPr>
        <w:ind w:left="980" w:hanging="1340"/>
      </w:pPr>
      <w:rPr>
        <w:rFonts w:ascii="Times New Roman" w:eastAsiaTheme="minorHAnsi" w:hAnsi="Times New Roman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32"/>
    <w:rsid w:val="000A0EFB"/>
    <w:rsid w:val="000C751F"/>
    <w:rsid w:val="001130A6"/>
    <w:rsid w:val="00190E0D"/>
    <w:rsid w:val="001C2093"/>
    <w:rsid w:val="001E217D"/>
    <w:rsid w:val="001F5236"/>
    <w:rsid w:val="0027652C"/>
    <w:rsid w:val="002A4BB6"/>
    <w:rsid w:val="004037EA"/>
    <w:rsid w:val="004343DA"/>
    <w:rsid w:val="00505599"/>
    <w:rsid w:val="00525232"/>
    <w:rsid w:val="005A2C69"/>
    <w:rsid w:val="005A7A03"/>
    <w:rsid w:val="00666E21"/>
    <w:rsid w:val="006911C1"/>
    <w:rsid w:val="00774A61"/>
    <w:rsid w:val="007C6C8B"/>
    <w:rsid w:val="00893796"/>
    <w:rsid w:val="009101AA"/>
    <w:rsid w:val="00927D9B"/>
    <w:rsid w:val="009E08EF"/>
    <w:rsid w:val="00A92660"/>
    <w:rsid w:val="00C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B8AB"/>
  <w15:docId w15:val="{BEDF521A-FB6F-D14C-A8C5-67DD8D1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EF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9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E0D"/>
  </w:style>
  <w:style w:type="character" w:styleId="Numrodepage">
    <w:name w:val="page number"/>
    <w:basedOn w:val="Policepardfaut"/>
    <w:uiPriority w:val="99"/>
    <w:semiHidden/>
    <w:unhideWhenUsed/>
    <w:rsid w:val="0019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88769-4E6D-4A81-AAE7-E2199F54DCA0}"/>
</file>

<file path=customXml/itemProps2.xml><?xml version="1.0" encoding="utf-8"?>
<ds:datastoreItem xmlns:ds="http://schemas.openxmlformats.org/officeDocument/2006/customXml" ds:itemID="{F6D68264-C8EF-496D-8B37-CBFCE7B8AE3A}"/>
</file>

<file path=customXml/itemProps3.xml><?xml version="1.0" encoding="utf-8"?>
<ds:datastoreItem xmlns:ds="http://schemas.openxmlformats.org/officeDocument/2006/customXml" ds:itemID="{9F65D101-BC08-4F89-ACE5-CFAFB3869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ClassNetPC</dc:creator>
  <cp:lastModifiedBy>Rana El Khoury</cp:lastModifiedBy>
  <cp:revision>10</cp:revision>
  <dcterms:created xsi:type="dcterms:W3CDTF">2021-01-15T03:39:00Z</dcterms:created>
  <dcterms:modified xsi:type="dcterms:W3CDTF">2021-01-14T17:36:00Z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