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41" w:rsidRDefault="000B4741" w:rsidP="00D22CD1">
      <w:pPr>
        <w:bidi/>
        <w:spacing w:line="24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71416" w:rsidRPr="00771416" w:rsidRDefault="00771416" w:rsidP="0077141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bookmarkStart w:id="0" w:name="_GoBack"/>
      <w:r w:rsidRPr="0077141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VIDEO 1</w:t>
      </w:r>
    </w:p>
    <w:bookmarkEnd w:id="0"/>
    <w:p w:rsidR="00771416" w:rsidRDefault="00771416" w:rsidP="00771416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F72F4" w:rsidRPr="001E6A0B" w:rsidRDefault="007F72F4" w:rsidP="00771416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جلسة مناقشة تقرير لبنان الوطني الثالث </w:t>
      </w:r>
    </w:p>
    <w:p w:rsidR="007F72F4" w:rsidRPr="001E6A0B" w:rsidRDefault="007F72F4" w:rsidP="007F72F4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:rsidR="00B73F78" w:rsidRDefault="007F72F4" w:rsidP="00B73F78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E6A0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كلمة </w:t>
      </w:r>
      <w:r w:rsidR="00AE4F27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السيدة آيا</w:t>
      </w:r>
      <w:r w:rsidR="00B73F7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الزين</w:t>
      </w:r>
    </w:p>
    <w:p w:rsidR="00771416" w:rsidRDefault="00771416" w:rsidP="00771416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رئاسة مجلس الوزراء</w:t>
      </w:r>
    </w:p>
    <w:p w:rsidR="007F72F4" w:rsidRDefault="007F72F4" w:rsidP="00B73F78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بيروت، في ١٨/١/٢٠٢١</w:t>
      </w:r>
    </w:p>
    <w:p w:rsidR="0016287A" w:rsidRPr="00786EEF" w:rsidRDefault="0016287A" w:rsidP="0016287A">
      <w:pPr>
        <w:bidi/>
        <w:jc w:val="center"/>
        <w:rPr>
          <w:rFonts w:ascii="Simplified Arabic" w:hAnsi="Simplified Arabic" w:cs="Simplified Arabic"/>
          <w:b/>
          <w:bCs/>
          <w:rtl/>
        </w:rPr>
      </w:pPr>
    </w:p>
    <w:p w:rsidR="00B73F78" w:rsidRDefault="000065D8" w:rsidP="00D15B3D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 بيان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ها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الوزاري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ة، تبنّت الحكومات اللبنانية المتعاقبة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هدف "مكافحة الفساد"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لما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لهذه الآفة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 تأثير على حقوق الانسان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المدنية والسياسية والاقتصادية والاجتماعية والثقافية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وكذلك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على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الحق في التنمية. </w:t>
      </w:r>
    </w:p>
    <w:p w:rsidR="000B4741" w:rsidRDefault="000065D8" w:rsidP="00B73F78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فشهدت الأعوام الأخيرة على ورش اصلاحات تمثلت في العديد من التشريعات المتعلقة بمكافحة الفساد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كقوانين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حماية كاشفي الفساد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الحق</w:t>
      </w:r>
      <w:r w:rsidR="000B47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الوصول الى المعلومات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مكافحة الفساد وانشاء </w:t>
      </w:r>
      <w:r w:rsidR="000B47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"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الهيئة الوطنية لمكافحة الفساد</w:t>
      </w:r>
      <w:r w:rsidR="000B47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"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التصريح عن الذم</w:t>
      </w:r>
      <w:r w:rsidR="000B47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 المالية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والمصالح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والاثراء غير المشروع</w:t>
      </w:r>
      <w:r w:rsidR="000B47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وغيرها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. </w:t>
      </w:r>
    </w:p>
    <w:p w:rsidR="000065D8" w:rsidRPr="000065D8" w:rsidRDefault="00B73F78" w:rsidP="000B4741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وذلك، </w:t>
      </w:r>
      <w:r w:rsidR="000065D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بال</w:t>
      </w:r>
      <w:r w:rsidR="000065D8">
        <w:rPr>
          <w:rFonts w:ascii="Simplified Arabic" w:hAnsi="Simplified Arabic" w:cs="Simplified Arabic"/>
          <w:sz w:val="28"/>
          <w:szCs w:val="28"/>
          <w:rtl/>
          <w:lang w:bidi="ar-LB"/>
        </w:rPr>
        <w:t>إ</w:t>
      </w:r>
      <w:r w:rsidR="000065D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ضافة الى العديد من القرارات الوزارية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065D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أهمّها 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اقرار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"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الاستراتيجية الوطنية لمكافحة الفساد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"،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التدابير الآنية والفورية لمكافحة الفساد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واستعادة الأموال المتأتية عنه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</w:t>
      </w:r>
      <w:r w:rsidR="000065D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التدقيق المالي والجنائي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</w:t>
      </w:r>
      <w:r w:rsidR="000A612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تمّت الاشارة اليهم بوضوح في متن التقرير الوطني.</w:t>
      </w:r>
    </w:p>
    <w:p w:rsidR="006F21A7" w:rsidRPr="000A6122" w:rsidRDefault="000065D8" w:rsidP="00B6129F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067B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="00B73F7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ab/>
      </w:r>
      <w:r w:rsidR="00B73F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نسترض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تباعاً </w:t>
      </w:r>
      <w:r w:rsidR="0016287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أهمّ الاجراءات والتدابير التي اتخذتها الحكومة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أهم القوانين التي أقرّها مجلس النو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اب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منذ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تاريخ 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تقديم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التقرير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</w:t>
      </w:r>
      <w:r w:rsidR="00B6129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بال</w:t>
      </w:r>
      <w:r w:rsidR="00B6129F">
        <w:rPr>
          <w:rFonts w:ascii="Simplified Arabic" w:hAnsi="Simplified Arabic" w:cs="Simplified Arabic"/>
          <w:sz w:val="28"/>
          <w:szCs w:val="28"/>
          <w:rtl/>
          <w:lang w:bidi="ar-LB"/>
        </w:rPr>
        <w:t>إ</w:t>
      </w:r>
      <w:r w:rsidR="00B6129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ضافة الى </w:t>
      </w:r>
      <w:r w:rsidR="0005094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تلك </w:t>
      </w:r>
      <w:r w:rsidR="0016287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التي لم تذكر في التقرير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16287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وينبغي </w:t>
      </w:r>
      <w:r w:rsidR="0016287A">
        <w:rPr>
          <w:rFonts w:ascii="Simplified Arabic" w:hAnsi="Simplified Arabic" w:cs="Simplified Arabic"/>
          <w:sz w:val="28"/>
          <w:szCs w:val="28"/>
          <w:rtl/>
          <w:lang w:bidi="ar-LB"/>
        </w:rPr>
        <w:t>إ</w:t>
      </w:r>
      <w:r w:rsidR="00B6129F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لقاء الضوء عليها لأهميتها</w:t>
      </w:r>
      <w:r w:rsidR="00B73F78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: </w:t>
      </w:r>
    </w:p>
    <w:p w:rsidR="003352DA" w:rsidRPr="00A0487B" w:rsidRDefault="008A620A" w:rsidP="00AE4F2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بالنسبة "لل</w:t>
      </w:r>
      <w:r w:rsidR="000A612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هيئة الوطنية لمكافحة الفساد</w:t>
      </w:r>
      <w:r w:rsidR="00AE4F2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"</w:t>
      </w:r>
      <w:r w:rsidR="0016287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:</w:t>
      </w:r>
    </w:p>
    <w:p w:rsidR="000A6122" w:rsidRDefault="000A6122" w:rsidP="00AE4F27">
      <w:pPr>
        <w:pStyle w:val="Paragraphedeliste"/>
        <w:bidi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تمّت الدعوة </w:t>
      </w:r>
      <w:r w:rsidR="00B6129F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مبدئياً</w:t>
      </w:r>
      <w:r w:rsidR="00AE4F2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بتاريخ 23\1\2021</w:t>
      </w:r>
      <w:r w:rsidR="00B6129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لانتخاب القاضيين المتقاعدين على أن ينسحب الأمر على تسمية </w:t>
      </w:r>
      <w:r w:rsidR="00AE4F27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باقي الأعضاء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من الجهات التي حد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ّ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دها القانون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بانتظار تشكيل حكومة جديدة ل</w:t>
      </w:r>
      <w:r>
        <w:rPr>
          <w:rFonts w:ascii="Simplified Arabic" w:hAnsi="Simplified Arabic" w:cs="Simplified Arabic"/>
          <w:sz w:val="26"/>
          <w:szCs w:val="26"/>
          <w:rtl/>
          <w:lang w:bidi="ar-LB"/>
        </w:rPr>
        <w:t>إ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قرار المرسوم. </w:t>
      </w:r>
    </w:p>
    <w:p w:rsidR="000B4741" w:rsidRDefault="000B4741" w:rsidP="000B4741">
      <w:pPr>
        <w:pStyle w:val="Paragraphedeliste"/>
        <w:bidi/>
        <w:jc w:val="both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287A" w:rsidRPr="0016287A" w:rsidRDefault="008A620A" w:rsidP="000A6122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lang w:bidi="ar-LB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بالنسبة لل</w:t>
      </w:r>
      <w:r w:rsidR="000A6122" w:rsidRPr="001628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مرسوم التطبيقي</w:t>
      </w:r>
      <w:r w:rsidR="000A6122" w:rsidRPr="0016287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 xml:space="preserve"> </w:t>
      </w:r>
      <w:r w:rsidR="000A6122" w:rsidRPr="001628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لقانون الحق في الوصول الى المعلومات</w:t>
      </w:r>
      <w:r w:rsidR="0016287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:</w:t>
      </w:r>
    </w:p>
    <w:p w:rsidR="00786EEF" w:rsidRDefault="00B6129F" w:rsidP="00BA491D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بتاريخ 27/9/2020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</w:t>
      </w:r>
      <w:r w:rsidR="000A6122" w:rsidRPr="0016287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يوم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ن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ُ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ش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ِ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ر المرسوم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و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بد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أ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سريانه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طلب</w:t>
      </w:r>
      <w:r w:rsidR="000A6122" w:rsidRPr="0016287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ت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الأمانة العامة لمجل</w:t>
      </w:r>
      <w:r w:rsidR="00AE4F2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س الوزراء من الادارات تكليف 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موظفي المعلومات الخاصة بها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وفقاً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لنصّ </w:t>
      </w:r>
      <w:r w:rsidR="000A6122" w:rsidRPr="0016287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المرسوم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و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طلبت من وزارة المالية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العامة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إصدار القرار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المُحَدِّد ل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قيمة النفقات المتوجبة عن كل طلب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و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طريقة استيفائها</w:t>
      </w:r>
      <w:r w:rsidR="007708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.</w:t>
      </w:r>
      <w:r w:rsidR="000A6122" w:rsidRPr="0016287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</w:p>
    <w:p w:rsidR="00AE4F27" w:rsidRPr="00BA491D" w:rsidRDefault="00AE4F27" w:rsidP="00AE4F27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</w:p>
    <w:p w:rsidR="0016287A" w:rsidRPr="00AE5FDA" w:rsidRDefault="0016287A" w:rsidP="00AE5FDA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LB"/>
        </w:rPr>
      </w:pPr>
      <w:r w:rsidRPr="00AE5FD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بالنسبة لقانون</w:t>
      </w:r>
      <w:r w:rsidRPr="00AE5FD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 xml:space="preserve"> التصريح عن الذمة المالية والمصالح</w:t>
      </w:r>
      <w:r w:rsidR="008A620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،</w:t>
      </w:r>
      <w:r w:rsidRPr="00AE5FD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 xml:space="preserve"> ومعاقبة الاثراء غير المشروع</w:t>
      </w:r>
      <w:r w:rsidRPr="00AE5FD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:</w:t>
      </w:r>
    </w:p>
    <w:p w:rsidR="0016287A" w:rsidRDefault="00067B15" w:rsidP="00AE4F27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بتاريخ 16/11/2020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صدر تعميم</w:t>
      </w:r>
      <w:r w:rsidR="0016287A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عن السيد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رئيس مجلس الوزراء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للطلب 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من جميع الوزارات والادارات العامة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إصدار </w:t>
      </w:r>
      <w:r w:rsidR="00AE4F2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التعاميم المنصوص عنها في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القانون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16287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بشأن مهل تقديم التصاريح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.</w:t>
      </w:r>
      <w:r w:rsidR="0016287A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</w:p>
    <w:p w:rsidR="000B4741" w:rsidRPr="00A0487B" w:rsidRDefault="000B4741" w:rsidP="000B4741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</w:p>
    <w:p w:rsidR="00F85F2E" w:rsidRPr="00AE5FDA" w:rsidRDefault="001A0F9E" w:rsidP="00AE5FDA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833C0B" w:themeColor="accent2" w:themeShade="80"/>
          <w:sz w:val="26"/>
          <w:szCs w:val="26"/>
          <w:lang w:bidi="ar-LB"/>
        </w:rPr>
      </w:pPr>
      <w:r w:rsidRPr="00AE5FD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النظام الالزامي لمعاينة ومراقبة الحاويات والبضائع والمركبات في المرافق الحدودية اللبنانية</w:t>
      </w:r>
      <w:r w:rsidR="00AE5FD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 xml:space="preserve"> (</w:t>
      </w:r>
      <w:r w:rsidR="00AE5FD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LB"/>
        </w:rPr>
        <w:t>scanner</w:t>
      </w:r>
      <w:r w:rsidR="00AE5FD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)</w:t>
      </w:r>
      <w:r w:rsidRPr="00AE5FD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 xml:space="preserve"> بهدف الحد من التهريب</w:t>
      </w:r>
      <w:r w:rsidR="00F85F2E" w:rsidRPr="00AE5FD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:</w:t>
      </w:r>
    </w:p>
    <w:p w:rsidR="003B26B3" w:rsidRDefault="00AE5FDA" w:rsidP="00AE5FDA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بتاريخ 30/7/2020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1A0F9E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صدر المرسوم 67</w:t>
      </w:r>
      <w:r w:rsidR="00985A5B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48</w:t>
      </w:r>
      <w:r w:rsidR="001A0F9E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حول 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تلزيم مؤسسة خاصة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عن طريق </w:t>
      </w:r>
      <w:r w:rsidR="00D40361">
        <w:rPr>
          <w:rFonts w:ascii="Simplified Arabic" w:hAnsi="Simplified Arabic" w:cs="Simplified Arabic"/>
          <w:sz w:val="26"/>
          <w:szCs w:val="26"/>
          <w:rtl/>
          <w:lang w:bidi="ar-LB"/>
        </w:rPr>
        <w:t>إ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جراء</w:t>
      </w:r>
      <w:r w:rsidR="001A0F9E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مناقصة عمومية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="001A0F9E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 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 xml:space="preserve">مهمة </w:t>
      </w:r>
      <w:r w:rsidR="00D40361">
        <w:rPr>
          <w:rFonts w:ascii="Simplified Arabic" w:hAnsi="Simplified Arabic" w:cs="Simplified Arabic"/>
          <w:sz w:val="26"/>
          <w:szCs w:val="26"/>
          <w:rtl/>
          <w:lang w:bidi="ar-LB"/>
        </w:rPr>
        <w:t>إ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نشاء وتمويل وتركيب التجهيزات والأنظمة</w:t>
      </w:r>
      <w:r w:rsidR="00880783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اللازمة</w:t>
      </w:r>
      <w:r w:rsidR="00F55D66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880783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لمعاينة ومراقبة الحاويات والبضائع والمركبات في المرافق الحدودية</w:t>
      </w:r>
      <w:r w:rsidR="00756070" w:rsidRPr="009566D5">
        <w:rPr>
          <w:rFonts w:ascii="Simplified Arabic" w:hAnsi="Simplified Arabic" w:cs="Simplified Arabic"/>
          <w:sz w:val="26"/>
          <w:szCs w:val="26"/>
          <w:rtl/>
          <w:lang w:bidi="ar-LB"/>
        </w:rPr>
        <w:t>.</w:t>
      </w:r>
      <w:r w:rsidR="00756070" w:rsidRPr="009566D5">
        <w:rPr>
          <w:rFonts w:ascii="Simplified Arabic" w:hAnsi="Simplified Arabic" w:cs="Simplified Arabic"/>
          <w:color w:val="833C0B" w:themeColor="accent2" w:themeShade="80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فوصلنا</w:t>
      </w:r>
      <w:r w:rsidR="00C74BB4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إلى </w:t>
      </w:r>
      <w:r w:rsidR="00C74BB4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مرحلة</w:t>
      </w:r>
      <w:r w:rsidR="00985A5B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</w:t>
      </w:r>
      <w:r w:rsidR="00D40361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إ</w:t>
      </w:r>
      <w:r w:rsidR="00F55D66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عداد</w:t>
      </w:r>
      <w:r w:rsidR="00985A5B" w:rsidRPr="00A0487B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 xml:space="preserve"> دفتر شروط المناقصة</w:t>
      </w:r>
      <w:r w:rsidR="00C74BB4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للسير فيه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C74BB4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وفقاً للأصول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C74BB4" w:rsidRPr="00A0487B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فور تشكيل الحكومة الجديدة.</w:t>
      </w:r>
    </w:p>
    <w:p w:rsidR="000B4741" w:rsidRPr="00AE5FDA" w:rsidRDefault="000B4741" w:rsidP="000B4741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lang w:bidi="ar-LB"/>
        </w:rPr>
      </w:pPr>
    </w:p>
    <w:p w:rsidR="002050AB" w:rsidRPr="00A0487B" w:rsidRDefault="00F22831" w:rsidP="003352DA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LB"/>
        </w:rPr>
      </w:pPr>
      <w:r w:rsidRPr="00A0487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التدقيق ال</w:t>
      </w:r>
      <w:r w:rsidRPr="00A0487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مالي والمحاسبي والجنائي:</w:t>
      </w:r>
    </w:p>
    <w:p w:rsidR="00C54535" w:rsidRDefault="00F22831" w:rsidP="00067B15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بتاريخ 28</w:t>
      </w:r>
      <w:r w:rsidR="00115F70">
        <w:rPr>
          <w:rFonts w:ascii="Simplified Arabic" w:hAnsi="Simplified Arabic" w:cs="Simplified Arabic" w:hint="cs"/>
          <w:sz w:val="26"/>
          <w:szCs w:val="26"/>
          <w:rtl/>
          <w:lang w:bidi="ar-LB"/>
        </w:rPr>
        <w:t>/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7</w:t>
      </w:r>
      <w:r w:rsidR="00115F70">
        <w:rPr>
          <w:rFonts w:ascii="Simplified Arabic" w:hAnsi="Simplified Arabic" w:cs="Simplified Arabic" w:hint="cs"/>
          <w:sz w:val="26"/>
          <w:szCs w:val="26"/>
          <w:rtl/>
          <w:lang w:bidi="ar-LB"/>
        </w:rPr>
        <w:t>/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2020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وافق مجلس الوزراء على توقيع العقود مع شركات </w:t>
      </w:r>
      <w:r w:rsidRPr="009566D5">
        <w:rPr>
          <w:rFonts w:ascii="Simplified Arabic" w:hAnsi="Simplified Arabic" w:cs="Simplified Arabic"/>
          <w:sz w:val="26"/>
          <w:szCs w:val="26"/>
          <w:lang w:bidi="ar-LB"/>
        </w:rPr>
        <w:t>KPMG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 </w:t>
      </w:r>
      <w:r w:rsidRPr="009566D5">
        <w:rPr>
          <w:rFonts w:ascii="Simplified Arabic" w:hAnsi="Simplified Arabic" w:cs="Simplified Arabic"/>
          <w:sz w:val="26"/>
          <w:szCs w:val="26"/>
          <w:lang w:bidi="ar-LB"/>
        </w:rPr>
        <w:t>Oliver Wyman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9566D5">
        <w:rPr>
          <w:rFonts w:ascii="Simplified Arabic" w:hAnsi="Simplified Arabic" w:cs="Simplified Arabic"/>
          <w:sz w:val="26"/>
          <w:szCs w:val="26"/>
          <w:lang w:bidi="ar-LB"/>
        </w:rPr>
        <w:t xml:space="preserve"> 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</w:t>
      </w:r>
      <w:r w:rsidRPr="009566D5">
        <w:rPr>
          <w:rFonts w:ascii="Simplified Arabic" w:hAnsi="Simplified Arabic" w:cs="Simplified Arabic"/>
          <w:sz w:val="26"/>
          <w:szCs w:val="26"/>
          <w:lang w:bidi="ar-LB"/>
        </w:rPr>
        <w:t>Alvarez &amp; Marsal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، 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للقيام بمهام التدقيق المالي والمحاسبي والجنائي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وفقاً لرأي 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"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هيئة التشريع والاستشارات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."</w:t>
      </w:r>
      <w:r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ف</w:t>
      </w:r>
      <w:r w:rsidR="00835175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قام وزير المالية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العامة</w:t>
      </w:r>
      <w:r w:rsidR="00835175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بتوقيع العقود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،</w:t>
      </w:r>
      <w:r w:rsidR="00835175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غير أن موضوع التدقيق الجنائي اصطدم</w:t>
      </w:r>
      <w:r w:rsidR="00067B1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في شقّ منه بأحكام 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"</w:t>
      </w:r>
      <w:r w:rsidR="00835175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قانون السر</w:t>
      </w:r>
      <w:r w:rsidR="00067B1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ّ</w:t>
      </w:r>
      <w:r w:rsidR="00835175" w:rsidRPr="009566D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ية المصرفية.</w:t>
      </w:r>
      <w:r w:rsidR="008A620A">
        <w:rPr>
          <w:rFonts w:ascii="Simplified Arabic" w:hAnsi="Simplified Arabic" w:cs="Simplified Arabic" w:hint="cs"/>
          <w:sz w:val="26"/>
          <w:szCs w:val="26"/>
          <w:rtl/>
          <w:lang w:bidi="ar-LB"/>
        </w:rPr>
        <w:t>"</w:t>
      </w:r>
      <w:r w:rsidR="00EC4FB0" w:rsidRPr="009566D5">
        <w:rPr>
          <w:rFonts w:ascii="Simplified Arabic" w:hAnsi="Simplified Arabic" w:cs="Simplified Arabic" w:hint="cs"/>
          <w:color w:val="833C0B" w:themeColor="accent2" w:themeShade="80"/>
          <w:sz w:val="26"/>
          <w:szCs w:val="26"/>
          <w:rtl/>
          <w:lang w:bidi="ar-LB"/>
        </w:rPr>
        <w:t xml:space="preserve"> </w:t>
      </w:r>
      <w:r w:rsidR="008A620A" w:rsidRP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ف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بتاريخ ٢٣/١٢/٢٠٢٠، </w:t>
      </w:r>
      <w:r w:rsidR="009D37F1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أقرّ مجلس النواب قانوناً بتعليق العمل ب</w:t>
      </w:r>
      <w:r w:rsidR="00067B15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تلك ال</w:t>
      </w:r>
      <w:r w:rsidR="009D37F1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أحكام لمدة سنة واحدة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.</w:t>
      </w:r>
      <w:r w:rsidR="009D37F1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</w:t>
      </w:r>
      <w:r w:rsidR="00E51E19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ولغايات هذا التدقيق.</w:t>
      </w:r>
      <w:r w:rsid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</w:t>
      </w:r>
      <w:r w:rsidR="00C54535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وأعلن السيد وزير المالية 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العامة </w:t>
      </w:r>
      <w:r w:rsidR="00C54535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أنه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 w:rsidR="00C54535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وبعد صدور القانون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، </w:t>
      </w:r>
      <w:r w:rsidR="00C54535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سيتمّ التواصل مع شركة </w:t>
      </w:r>
      <w:r w:rsidR="00C54535" w:rsidRPr="00AE5FDA">
        <w:rPr>
          <w:rFonts w:ascii="Simplified Arabic" w:hAnsi="Simplified Arabic" w:cs="Simplified Arabic"/>
          <w:color w:val="000000" w:themeColor="text1"/>
          <w:sz w:val="26"/>
          <w:szCs w:val="26"/>
          <w:lang w:bidi="ar-LB"/>
        </w:rPr>
        <w:t>Alvarez &amp; Marsal</w:t>
      </w:r>
      <w:r w:rsidR="00C54535" w:rsidRPr="00AE5FD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لمتابعة التدقيق الجنائي.</w:t>
      </w:r>
    </w:p>
    <w:p w:rsidR="000B4741" w:rsidRDefault="000B4741" w:rsidP="000B4741">
      <w:pPr>
        <w:pStyle w:val="Paragraphedeliste"/>
        <w:bidi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</w:p>
    <w:p w:rsidR="00640454" w:rsidRPr="00640454" w:rsidRDefault="00640454" w:rsidP="0064045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LB"/>
        </w:rPr>
      </w:pPr>
      <w:r w:rsidRPr="0064045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تحديث منظ</w:t>
      </w:r>
      <w:r w:rsidR="00234B2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و</w:t>
      </w:r>
      <w:r w:rsidRPr="00640454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مة الشراء العام:</w:t>
      </w:r>
    </w:p>
    <w:p w:rsidR="00067B15" w:rsidRPr="00BA491D" w:rsidRDefault="00640454" w:rsidP="00BA491D">
      <w:pPr>
        <w:pStyle w:val="Paragraphedeliste"/>
        <w:bidi/>
        <w:ind w:left="785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في العام 2018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أجرت وزارة المالية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العامة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مسحاً شاملاً لمنظومة الشراء العام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بالتعاون مع 80 جهة وطنية مختص</w:t>
      </w:r>
      <w:r w:rsidR="00067B15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ّ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ة وعبر منهجية </w:t>
      </w:r>
      <w:r>
        <w:rPr>
          <w:rFonts w:ascii="Simplified Arabic" w:hAnsi="Simplified Arabic" w:cs="Simplified Arabic"/>
          <w:color w:val="000000" w:themeColor="text1"/>
          <w:sz w:val="26"/>
          <w:szCs w:val="26"/>
          <w:lang w:bidi="ar-LB"/>
        </w:rPr>
        <w:t>MAPS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.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حالياً، يجري 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العمل على </w:t>
      </w:r>
      <w:r w:rsidR="00067B15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LB"/>
        </w:rPr>
        <w:t>إ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عداد مشروع قانون عصري للشراء العام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منسجم مع المبادىء الدولية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بالتعاون مع متخص</w:t>
      </w:r>
      <w:r w:rsidR="00067B15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ّ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صين في السياسات العامة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وخبراء قانونيين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وممثلين عن القطاع الخاص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،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 و</w:t>
      </w:r>
      <w:r w:rsidR="008A62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 xml:space="preserve">عن هيئات 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LB"/>
        </w:rPr>
        <w:t>المجتمع المدني.</w:t>
      </w:r>
    </w:p>
    <w:p w:rsidR="0011493D" w:rsidRPr="005D09EB" w:rsidRDefault="0011493D" w:rsidP="00AA36F4">
      <w:pPr>
        <w:bidi/>
        <w:jc w:val="both"/>
        <w:rPr>
          <w:rFonts w:ascii="Simplified Arabic" w:hAnsi="Simplified Arabic" w:cs="Simplified Arabic"/>
          <w:b/>
          <w:bCs/>
          <w:color w:val="C00000"/>
          <w:sz w:val="2"/>
          <w:szCs w:val="2"/>
          <w:rtl/>
          <w:lang w:bidi="ar-LB"/>
        </w:rPr>
      </w:pPr>
    </w:p>
    <w:p w:rsidR="002348FA" w:rsidRPr="00AA36F4" w:rsidRDefault="002348FA" w:rsidP="002348FA">
      <w:pPr>
        <w:tabs>
          <w:tab w:val="left" w:pos="7699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            </w:t>
      </w:r>
    </w:p>
    <w:sectPr w:rsidR="002348FA" w:rsidRPr="00AA36F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D6" w:rsidRDefault="00CE48D6" w:rsidP="000B4741">
      <w:pPr>
        <w:spacing w:after="0" w:line="240" w:lineRule="auto"/>
      </w:pPr>
      <w:r>
        <w:separator/>
      </w:r>
    </w:p>
  </w:endnote>
  <w:endnote w:type="continuationSeparator" w:id="0">
    <w:p w:rsidR="00CE48D6" w:rsidRDefault="00CE48D6" w:rsidP="000B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507460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B4741" w:rsidRDefault="000B4741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B4741" w:rsidRDefault="000B4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25807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B4741" w:rsidRDefault="000B4741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B4741" w:rsidRDefault="000B4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D6" w:rsidRDefault="00CE48D6" w:rsidP="000B4741">
      <w:pPr>
        <w:spacing w:after="0" w:line="240" w:lineRule="auto"/>
      </w:pPr>
      <w:r>
        <w:separator/>
      </w:r>
    </w:p>
  </w:footnote>
  <w:footnote w:type="continuationSeparator" w:id="0">
    <w:p w:rsidR="00CE48D6" w:rsidRDefault="00CE48D6" w:rsidP="000B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B2A"/>
    <w:multiLevelType w:val="hybridMultilevel"/>
    <w:tmpl w:val="A70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05C"/>
    <w:multiLevelType w:val="hybridMultilevel"/>
    <w:tmpl w:val="D522251C"/>
    <w:lvl w:ilvl="0" w:tplc="55C0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012"/>
    <w:multiLevelType w:val="hybridMultilevel"/>
    <w:tmpl w:val="CC323072"/>
    <w:lvl w:ilvl="0" w:tplc="340E4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0151"/>
    <w:multiLevelType w:val="hybridMultilevel"/>
    <w:tmpl w:val="E5F4616A"/>
    <w:lvl w:ilvl="0" w:tplc="9364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74F"/>
    <w:multiLevelType w:val="hybridMultilevel"/>
    <w:tmpl w:val="72686CBC"/>
    <w:lvl w:ilvl="0" w:tplc="9364075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A2"/>
    <w:rsid w:val="000065D8"/>
    <w:rsid w:val="0003731A"/>
    <w:rsid w:val="0005094F"/>
    <w:rsid w:val="00067B15"/>
    <w:rsid w:val="000A6122"/>
    <w:rsid w:val="000B4741"/>
    <w:rsid w:val="0011493D"/>
    <w:rsid w:val="00115F70"/>
    <w:rsid w:val="0016287A"/>
    <w:rsid w:val="0017780F"/>
    <w:rsid w:val="001A0F9E"/>
    <w:rsid w:val="002050AB"/>
    <w:rsid w:val="002348FA"/>
    <w:rsid w:val="00234B2D"/>
    <w:rsid w:val="002518F6"/>
    <w:rsid w:val="002C1EEA"/>
    <w:rsid w:val="002F3CBB"/>
    <w:rsid w:val="00314312"/>
    <w:rsid w:val="00331C3A"/>
    <w:rsid w:val="003352DA"/>
    <w:rsid w:val="003915CE"/>
    <w:rsid w:val="003B1760"/>
    <w:rsid w:val="003B26B3"/>
    <w:rsid w:val="00420013"/>
    <w:rsid w:val="00483A65"/>
    <w:rsid w:val="00503AC2"/>
    <w:rsid w:val="0057594C"/>
    <w:rsid w:val="00590089"/>
    <w:rsid w:val="005D09EB"/>
    <w:rsid w:val="00640454"/>
    <w:rsid w:val="00643A22"/>
    <w:rsid w:val="006F21A7"/>
    <w:rsid w:val="00756070"/>
    <w:rsid w:val="007708C1"/>
    <w:rsid w:val="00771416"/>
    <w:rsid w:val="00786EEF"/>
    <w:rsid w:val="007F50F7"/>
    <w:rsid w:val="007F72F4"/>
    <w:rsid w:val="00800175"/>
    <w:rsid w:val="00811162"/>
    <w:rsid w:val="00835175"/>
    <w:rsid w:val="0084303C"/>
    <w:rsid w:val="00874AC9"/>
    <w:rsid w:val="00880783"/>
    <w:rsid w:val="008A620A"/>
    <w:rsid w:val="008B7E61"/>
    <w:rsid w:val="009220CC"/>
    <w:rsid w:val="009566D5"/>
    <w:rsid w:val="0097658E"/>
    <w:rsid w:val="00985A5B"/>
    <w:rsid w:val="0099109A"/>
    <w:rsid w:val="009D37F1"/>
    <w:rsid w:val="00A00A56"/>
    <w:rsid w:val="00A0487B"/>
    <w:rsid w:val="00A14A0E"/>
    <w:rsid w:val="00A26F3F"/>
    <w:rsid w:val="00AA36F4"/>
    <w:rsid w:val="00AC2CA2"/>
    <w:rsid w:val="00AC4D63"/>
    <w:rsid w:val="00AE4F27"/>
    <w:rsid w:val="00AE5FDA"/>
    <w:rsid w:val="00AF4DD2"/>
    <w:rsid w:val="00B52B51"/>
    <w:rsid w:val="00B6129F"/>
    <w:rsid w:val="00B73F78"/>
    <w:rsid w:val="00B809B1"/>
    <w:rsid w:val="00B973D5"/>
    <w:rsid w:val="00BA491D"/>
    <w:rsid w:val="00BA5FB7"/>
    <w:rsid w:val="00BB3ADF"/>
    <w:rsid w:val="00BE3D2A"/>
    <w:rsid w:val="00C32CE9"/>
    <w:rsid w:val="00C54535"/>
    <w:rsid w:val="00C71761"/>
    <w:rsid w:val="00C74BB4"/>
    <w:rsid w:val="00CE48D6"/>
    <w:rsid w:val="00CE59E1"/>
    <w:rsid w:val="00D15B3D"/>
    <w:rsid w:val="00D22CD1"/>
    <w:rsid w:val="00D40361"/>
    <w:rsid w:val="00DB378B"/>
    <w:rsid w:val="00DF3BD0"/>
    <w:rsid w:val="00E25D2D"/>
    <w:rsid w:val="00E51E19"/>
    <w:rsid w:val="00E61A4A"/>
    <w:rsid w:val="00E778FB"/>
    <w:rsid w:val="00E93A44"/>
    <w:rsid w:val="00EB61F1"/>
    <w:rsid w:val="00EC4FB0"/>
    <w:rsid w:val="00EE15C5"/>
    <w:rsid w:val="00EE691D"/>
    <w:rsid w:val="00F22831"/>
    <w:rsid w:val="00F27D57"/>
    <w:rsid w:val="00F40795"/>
    <w:rsid w:val="00F55D66"/>
    <w:rsid w:val="00F6191F"/>
    <w:rsid w:val="00F71839"/>
    <w:rsid w:val="00F74E48"/>
    <w:rsid w:val="00F8324F"/>
    <w:rsid w:val="00F85F2E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747B"/>
  <w15:docId w15:val="{A68A781D-BEF2-F044-AFFB-287E96C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C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741"/>
  </w:style>
  <w:style w:type="character" w:styleId="Numrodepage">
    <w:name w:val="page number"/>
    <w:basedOn w:val="Policepardfaut"/>
    <w:uiPriority w:val="99"/>
    <w:semiHidden/>
    <w:unhideWhenUsed/>
    <w:rsid w:val="000B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2C20B-0B26-4407-8D8B-5BE11A0305B2}"/>
</file>

<file path=customXml/itemProps2.xml><?xml version="1.0" encoding="utf-8"?>
<ds:datastoreItem xmlns:ds="http://schemas.openxmlformats.org/officeDocument/2006/customXml" ds:itemID="{BD49687D-3E7C-4D28-B4F9-C78C18644FA3}"/>
</file>

<file path=customXml/itemProps3.xml><?xml version="1.0" encoding="utf-8"?>
<ds:datastoreItem xmlns:ds="http://schemas.openxmlformats.org/officeDocument/2006/customXml" ds:itemID="{57DAFCA0-D314-4005-A669-1BA6DFDC1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CSCUSER</dc:creator>
  <cp:lastModifiedBy>Rana El Khoury</cp:lastModifiedBy>
  <cp:revision>5</cp:revision>
  <cp:lastPrinted>2021-01-07T13:54:00Z</cp:lastPrinted>
  <dcterms:created xsi:type="dcterms:W3CDTF">2021-01-12T17:18:00Z</dcterms:created>
  <dcterms:modified xsi:type="dcterms:W3CDTF">2021-01-14T17:49:00Z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