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DE" w:rsidRPr="006D5557" w:rsidRDefault="00F67BDE" w:rsidP="00F67BD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3F213DC8" wp14:editId="794C081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DE" w:rsidRPr="006D5557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F67BDE" w:rsidRPr="006D5557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United Nations Human Rights Council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</w:t>
      </w:r>
      <w:r w:rsidR="002E2FDF">
        <w:rPr>
          <w:b/>
          <w:sz w:val="32"/>
          <w:szCs w:val="32"/>
          <w:lang w:val="en-US"/>
        </w:rPr>
        <w:t>8</w:t>
      </w:r>
      <w:r w:rsidRPr="00C243AB">
        <w:rPr>
          <w:b/>
          <w:sz w:val="32"/>
          <w:szCs w:val="32"/>
          <w:lang w:val="en-US"/>
        </w:rPr>
        <w:t>th Session of the UPR Working Group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 w:rsidR="002E2FDF">
        <w:rPr>
          <w:b/>
          <w:sz w:val="32"/>
          <w:szCs w:val="32"/>
          <w:lang w:val="en-US"/>
        </w:rPr>
        <w:t>6</w:t>
      </w:r>
      <w:r w:rsidR="002E2FDF" w:rsidRPr="002E2FDF">
        <w:rPr>
          <w:b/>
          <w:sz w:val="32"/>
          <w:szCs w:val="32"/>
          <w:vertAlign w:val="superscript"/>
          <w:lang w:val="en-US"/>
        </w:rPr>
        <w:t>th</w:t>
      </w:r>
      <w:r w:rsidR="002E2FDF">
        <w:rPr>
          <w:b/>
          <w:sz w:val="32"/>
          <w:szCs w:val="32"/>
          <w:lang w:val="en-US"/>
        </w:rPr>
        <w:t xml:space="preserve"> November 2017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---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 xml:space="preserve">German recommendations </w:t>
      </w:r>
    </w:p>
    <w:p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to</w:t>
      </w:r>
    </w:p>
    <w:p w:rsidR="00F67BDE" w:rsidRDefault="002E2FDF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Argentina</w:t>
      </w:r>
    </w:p>
    <w:p w:rsidR="00C10C8B" w:rsidRDefault="00C10C8B" w:rsidP="00C10C8B">
      <w:pPr>
        <w:jc w:val="center"/>
        <w:rPr>
          <w:b/>
          <w:sz w:val="32"/>
          <w:szCs w:val="32"/>
          <w:lang w:val="en-US"/>
        </w:rPr>
      </w:pPr>
    </w:p>
    <w:p w:rsidR="00C10C8B" w:rsidRPr="00E01E48" w:rsidRDefault="00C10C8B" w:rsidP="00C10C8B">
      <w:pPr>
        <w:jc w:val="center"/>
        <w:rPr>
          <w:b/>
          <w:sz w:val="32"/>
          <w:szCs w:val="32"/>
          <w:lang w:val="en-US"/>
        </w:rPr>
      </w:pPr>
    </w:p>
    <w:p w:rsidR="00F67BDE" w:rsidRPr="005F1F65" w:rsidRDefault="00F67BDE" w:rsidP="002823F7">
      <w:pPr>
        <w:rPr>
          <w:rFonts w:ascii="Arial" w:hAnsi="Arial" w:cs="Arial"/>
          <w:lang w:val="en-US"/>
        </w:rPr>
      </w:pPr>
      <w:r w:rsidRPr="005F1F65">
        <w:rPr>
          <w:rFonts w:ascii="Arial" w:hAnsi="Arial" w:cs="Arial"/>
          <w:lang w:val="en-US"/>
        </w:rPr>
        <w:br w:type="page"/>
      </w:r>
    </w:p>
    <w:p w:rsidR="004A7ACA" w:rsidRDefault="00A076BA" w:rsidP="002823F7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lastRenderedPageBreak/>
        <w:t>Mr. President,</w:t>
      </w:r>
    </w:p>
    <w:p w:rsidR="00A076BA" w:rsidRPr="005F1F65" w:rsidRDefault="00A076BA" w:rsidP="002823F7">
      <w:pPr>
        <w:rPr>
          <w:rFonts w:ascii="Arial" w:hAnsi="Arial" w:cs="Arial"/>
          <w:sz w:val="24"/>
          <w:lang w:val="en-US"/>
        </w:rPr>
      </w:pPr>
    </w:p>
    <w:p w:rsidR="00FC319C" w:rsidRDefault="00C10C8B" w:rsidP="00FC319C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5F1F65">
        <w:rPr>
          <w:rFonts w:ascii="Arial" w:hAnsi="Arial" w:cs="Arial"/>
          <w:sz w:val="24"/>
          <w:lang w:val="en-US"/>
        </w:rPr>
        <w:t xml:space="preserve">Germany </w:t>
      </w:r>
      <w:r w:rsidR="00FC319C" w:rsidRPr="005F1F65">
        <w:rPr>
          <w:rFonts w:ascii="Arial" w:hAnsi="Arial" w:cs="Arial"/>
          <w:sz w:val="24"/>
          <w:lang w:val="en-US"/>
        </w:rPr>
        <w:t xml:space="preserve">commends </w:t>
      </w:r>
      <w:r w:rsidR="00CA77FA" w:rsidRPr="005F1F65">
        <w:rPr>
          <w:rFonts w:ascii="Arial" w:hAnsi="Arial" w:cs="Arial"/>
          <w:sz w:val="24"/>
          <w:lang w:val="en-US"/>
        </w:rPr>
        <w:t>Argentina</w:t>
      </w:r>
      <w:r w:rsidR="00BC6657" w:rsidRPr="005F1F65">
        <w:rPr>
          <w:rFonts w:ascii="Arial" w:hAnsi="Arial" w:cs="Arial"/>
          <w:sz w:val="24"/>
          <w:lang w:val="en-US"/>
        </w:rPr>
        <w:t xml:space="preserve"> for it</w:t>
      </w:r>
      <w:r w:rsidR="00D35498" w:rsidRPr="005F1F65">
        <w:rPr>
          <w:rFonts w:ascii="Arial" w:hAnsi="Arial" w:cs="Arial"/>
          <w:sz w:val="24"/>
          <w:lang w:val="en-US"/>
        </w:rPr>
        <w:t xml:space="preserve">s </w:t>
      </w:r>
      <w:r w:rsidR="00BC2D18" w:rsidRPr="005F1F65">
        <w:rPr>
          <w:rFonts w:ascii="Arial" w:hAnsi="Arial" w:cs="Arial"/>
          <w:sz w:val="24"/>
          <w:lang w:val="en-US"/>
        </w:rPr>
        <w:t xml:space="preserve">cooperation </w:t>
      </w:r>
      <w:r w:rsidR="00BC6657" w:rsidRPr="005F1F65">
        <w:rPr>
          <w:rFonts w:ascii="Arial" w:hAnsi="Arial" w:cs="Arial"/>
          <w:sz w:val="24"/>
          <w:lang w:val="en-US"/>
        </w:rPr>
        <w:t>with international human rights institutions.</w:t>
      </w:r>
    </w:p>
    <w:p w:rsidR="00A076BA" w:rsidRPr="005F1F65" w:rsidRDefault="00A076BA" w:rsidP="00FC319C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3D6856" w:rsidRPr="005F1F65" w:rsidRDefault="003D6856" w:rsidP="00FC319C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7303D6" w:rsidRPr="005F1F65" w:rsidRDefault="008A42A0" w:rsidP="00FC319C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5F1F65">
        <w:rPr>
          <w:rFonts w:ascii="Arial" w:hAnsi="Arial" w:cs="Arial"/>
          <w:sz w:val="24"/>
          <w:lang w:val="en-US"/>
        </w:rPr>
        <w:t xml:space="preserve">Germany </w:t>
      </w:r>
      <w:r w:rsidR="00FE0F3B" w:rsidRPr="005F1F65">
        <w:rPr>
          <w:rFonts w:ascii="Arial" w:hAnsi="Arial" w:cs="Arial"/>
          <w:sz w:val="24"/>
          <w:lang w:val="en-US"/>
        </w:rPr>
        <w:t>recommends</w:t>
      </w:r>
      <w:r w:rsidR="007303D6" w:rsidRPr="005F1F65">
        <w:rPr>
          <w:rFonts w:ascii="Arial" w:hAnsi="Arial" w:cs="Arial"/>
          <w:sz w:val="24"/>
          <w:lang w:val="en-US"/>
        </w:rPr>
        <w:t xml:space="preserve">: </w:t>
      </w:r>
    </w:p>
    <w:p w:rsidR="00BC6657" w:rsidRPr="005F1F65" w:rsidRDefault="00BC6657" w:rsidP="00FC319C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FC319C" w:rsidRPr="005F1F65" w:rsidRDefault="002E3ED0" w:rsidP="00BC6657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5F1F65">
        <w:rPr>
          <w:rFonts w:ascii="Arial" w:hAnsi="Arial" w:cs="Arial"/>
          <w:sz w:val="24"/>
          <w:lang w:val="en-US"/>
        </w:rPr>
        <w:t xml:space="preserve">Ensure safe </w:t>
      </w:r>
      <w:r w:rsidR="000A500F" w:rsidRPr="005F1F65">
        <w:rPr>
          <w:rFonts w:ascii="Arial" w:hAnsi="Arial" w:cs="Arial"/>
          <w:b/>
          <w:sz w:val="24"/>
          <w:lang w:val="en-US"/>
        </w:rPr>
        <w:t xml:space="preserve">access </w:t>
      </w:r>
      <w:r w:rsidRPr="005F1F65">
        <w:rPr>
          <w:rFonts w:ascii="Arial" w:hAnsi="Arial" w:cs="Arial"/>
          <w:b/>
          <w:sz w:val="24"/>
          <w:lang w:val="en-US"/>
        </w:rPr>
        <w:t>to legal abortions,</w:t>
      </w:r>
      <w:r w:rsidRPr="005F1F65">
        <w:rPr>
          <w:rFonts w:ascii="Arial" w:hAnsi="Arial" w:cs="Arial"/>
          <w:sz w:val="24"/>
          <w:lang w:val="en-US"/>
        </w:rPr>
        <w:t xml:space="preserve"> including </w:t>
      </w:r>
      <w:r w:rsidR="000A500F" w:rsidRPr="005F1F65">
        <w:rPr>
          <w:rFonts w:ascii="Arial" w:hAnsi="Arial" w:cs="Arial"/>
          <w:sz w:val="24"/>
          <w:lang w:val="en-US"/>
        </w:rPr>
        <w:t>for female rape victims</w:t>
      </w:r>
      <w:r w:rsidRPr="005F1F65">
        <w:rPr>
          <w:rFonts w:ascii="Arial" w:hAnsi="Arial" w:cs="Arial"/>
          <w:sz w:val="24"/>
          <w:lang w:val="en-US"/>
        </w:rPr>
        <w:t>,</w:t>
      </w:r>
      <w:r w:rsidR="000A500F" w:rsidRPr="005F1F65">
        <w:rPr>
          <w:rFonts w:ascii="Arial" w:hAnsi="Arial" w:cs="Arial"/>
          <w:sz w:val="24"/>
          <w:lang w:val="en-US"/>
        </w:rPr>
        <w:t xml:space="preserve"> within the public health system in all </w:t>
      </w:r>
      <w:r w:rsidR="00BC2D18" w:rsidRPr="005F1F65">
        <w:rPr>
          <w:rFonts w:ascii="Arial" w:hAnsi="Arial" w:cs="Arial"/>
          <w:sz w:val="24"/>
          <w:lang w:val="en-US"/>
        </w:rPr>
        <w:t>regions.</w:t>
      </w:r>
      <w:r w:rsidR="000A500F" w:rsidRPr="005F1F65">
        <w:rPr>
          <w:rFonts w:ascii="Arial" w:hAnsi="Arial" w:cs="Arial"/>
          <w:sz w:val="24"/>
          <w:lang w:val="en-US"/>
        </w:rPr>
        <w:t xml:space="preserve"> </w:t>
      </w:r>
      <w:r w:rsidR="00BC2D18" w:rsidRPr="005F1F65">
        <w:rPr>
          <w:rFonts w:ascii="Arial" w:hAnsi="Arial" w:cs="Arial"/>
          <w:sz w:val="24"/>
          <w:lang w:val="en-US"/>
        </w:rPr>
        <w:t>I</w:t>
      </w:r>
      <w:r w:rsidR="000A500F" w:rsidRPr="005F1F65">
        <w:rPr>
          <w:rFonts w:ascii="Arial" w:hAnsi="Arial" w:cs="Arial"/>
          <w:sz w:val="24"/>
          <w:lang w:val="en-US"/>
        </w:rPr>
        <w:t xml:space="preserve">nitiate a </w:t>
      </w:r>
      <w:r w:rsidRPr="005F1F65">
        <w:rPr>
          <w:rFonts w:ascii="Arial" w:hAnsi="Arial" w:cs="Arial"/>
          <w:sz w:val="24"/>
          <w:lang w:val="en-US"/>
        </w:rPr>
        <w:t xml:space="preserve">public </w:t>
      </w:r>
      <w:r w:rsidR="000A500F" w:rsidRPr="005F1F65">
        <w:rPr>
          <w:rFonts w:ascii="Arial" w:hAnsi="Arial" w:cs="Arial"/>
          <w:sz w:val="24"/>
          <w:lang w:val="en-US"/>
        </w:rPr>
        <w:t>debate on the decriminalization of abortion.</w:t>
      </w:r>
    </w:p>
    <w:p w:rsidR="000A500F" w:rsidRPr="005F1F65" w:rsidRDefault="000A500F" w:rsidP="000A500F">
      <w:pPr>
        <w:pStyle w:val="Listenabsatz"/>
        <w:spacing w:after="0" w:line="240" w:lineRule="auto"/>
        <w:rPr>
          <w:rFonts w:ascii="Arial" w:hAnsi="Arial" w:cs="Arial"/>
          <w:sz w:val="24"/>
          <w:lang w:val="en-US"/>
        </w:rPr>
      </w:pPr>
    </w:p>
    <w:p w:rsidR="008339C9" w:rsidRDefault="00FE0F3B" w:rsidP="008339C9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5F1F65">
        <w:rPr>
          <w:rFonts w:ascii="Arial" w:hAnsi="Arial" w:cs="Arial"/>
          <w:sz w:val="24"/>
          <w:lang w:val="en-US"/>
        </w:rPr>
        <w:t xml:space="preserve">Conclude the survey of the ownership of lands traditionally occupied by </w:t>
      </w:r>
      <w:r w:rsidRPr="005F1F65">
        <w:rPr>
          <w:rFonts w:ascii="Arial" w:hAnsi="Arial" w:cs="Arial"/>
          <w:b/>
          <w:sz w:val="24"/>
          <w:lang w:val="en-US"/>
        </w:rPr>
        <w:t>indigenous communities</w:t>
      </w:r>
      <w:r w:rsidRPr="005F1F65">
        <w:rPr>
          <w:rFonts w:ascii="Arial" w:hAnsi="Arial" w:cs="Arial"/>
          <w:sz w:val="24"/>
          <w:lang w:val="en-US"/>
        </w:rPr>
        <w:t xml:space="preserve"> </w:t>
      </w:r>
      <w:r w:rsidR="00BC2D18" w:rsidRPr="005F1F65">
        <w:rPr>
          <w:rFonts w:ascii="Arial" w:hAnsi="Arial" w:cs="Arial"/>
          <w:sz w:val="24"/>
          <w:lang w:val="en-US"/>
        </w:rPr>
        <w:t xml:space="preserve">as </w:t>
      </w:r>
      <w:r w:rsidRPr="005F1F65">
        <w:rPr>
          <w:rFonts w:ascii="Arial" w:hAnsi="Arial" w:cs="Arial"/>
          <w:sz w:val="24"/>
          <w:lang w:val="en-US"/>
        </w:rPr>
        <w:t xml:space="preserve">foreseen in Law 26.160 in order to fully guarantee the rights of indigenous people </w:t>
      </w:r>
      <w:r w:rsidR="00BC2D18" w:rsidRPr="005F1F65">
        <w:rPr>
          <w:rFonts w:ascii="Arial" w:hAnsi="Arial" w:cs="Arial"/>
          <w:sz w:val="24"/>
          <w:lang w:val="en-US"/>
        </w:rPr>
        <w:t xml:space="preserve">especially territorial rights and the right to previous consultation </w:t>
      </w:r>
      <w:r w:rsidRPr="005F1F65">
        <w:rPr>
          <w:rFonts w:ascii="Arial" w:hAnsi="Arial" w:cs="Arial"/>
          <w:sz w:val="24"/>
          <w:lang w:val="en-US"/>
        </w:rPr>
        <w:t xml:space="preserve">in compliance with international treaties ratified by Argentina as well as the national </w:t>
      </w:r>
      <w:bookmarkStart w:id="0" w:name="_GoBack"/>
      <w:r w:rsidRPr="005F1F65">
        <w:rPr>
          <w:rFonts w:ascii="Arial" w:hAnsi="Arial" w:cs="Arial"/>
          <w:sz w:val="24"/>
          <w:lang w:val="en-US"/>
        </w:rPr>
        <w:t>constitution.</w:t>
      </w:r>
    </w:p>
    <w:bookmarkEnd w:id="0"/>
    <w:p w:rsidR="008339C9" w:rsidRPr="008339C9" w:rsidRDefault="008339C9" w:rsidP="008339C9">
      <w:pPr>
        <w:pStyle w:val="Listenabsatz"/>
        <w:rPr>
          <w:rFonts w:ascii="Arial" w:hAnsi="Arial" w:cs="Arial"/>
          <w:sz w:val="24"/>
          <w:lang w:val="en-US"/>
        </w:rPr>
      </w:pPr>
    </w:p>
    <w:p w:rsidR="008339C9" w:rsidRPr="005F1F65" w:rsidRDefault="008339C9" w:rsidP="005F1F65">
      <w:pPr>
        <w:pStyle w:val="Listenabsatz"/>
        <w:rPr>
          <w:rFonts w:ascii="Arial" w:hAnsi="Arial" w:cs="Arial"/>
          <w:sz w:val="24"/>
          <w:lang w:val="en-US"/>
        </w:rPr>
      </w:pPr>
    </w:p>
    <w:p w:rsidR="00775BCD" w:rsidRPr="006C177E" w:rsidRDefault="00775BCD" w:rsidP="003D6AE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6C177E">
        <w:rPr>
          <w:rFonts w:ascii="Arial" w:hAnsi="Arial" w:cs="Arial"/>
          <w:b/>
          <w:sz w:val="24"/>
          <w:lang w:val="en-US"/>
        </w:rPr>
        <w:t>Protect all detainees</w:t>
      </w:r>
      <w:r w:rsidRPr="006C177E">
        <w:rPr>
          <w:rFonts w:ascii="Arial" w:hAnsi="Arial" w:cs="Arial"/>
          <w:sz w:val="24"/>
          <w:lang w:val="en-US"/>
        </w:rPr>
        <w:t xml:space="preserve">, including those in police custody, from excessive use of force. </w:t>
      </w:r>
    </w:p>
    <w:p w:rsidR="00775BCD" w:rsidRPr="006C177E" w:rsidRDefault="00775BCD" w:rsidP="00775BCD">
      <w:pPr>
        <w:pStyle w:val="Listenabsatz"/>
        <w:rPr>
          <w:rFonts w:ascii="Arial" w:hAnsi="Arial" w:cs="Arial"/>
          <w:sz w:val="24"/>
          <w:lang w:val="en-US"/>
        </w:rPr>
      </w:pPr>
    </w:p>
    <w:p w:rsidR="001B5883" w:rsidRPr="006C177E" w:rsidRDefault="001B5883" w:rsidP="0008383F">
      <w:pPr>
        <w:pStyle w:val="Listenabsatz"/>
        <w:rPr>
          <w:rFonts w:ascii="Arial" w:hAnsi="Arial" w:cs="Arial"/>
          <w:sz w:val="24"/>
          <w:lang w:val="en-US"/>
        </w:rPr>
      </w:pPr>
    </w:p>
    <w:p w:rsidR="00A076BA" w:rsidRPr="006C177E" w:rsidRDefault="003A57FD" w:rsidP="0008383F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6C177E">
        <w:rPr>
          <w:rFonts w:ascii="Arial" w:hAnsi="Arial" w:cs="Arial"/>
          <w:sz w:val="24"/>
          <w:lang w:val="en-US"/>
        </w:rPr>
        <w:t xml:space="preserve">Guarantee </w:t>
      </w:r>
      <w:r w:rsidR="00EB6FA7" w:rsidRPr="006C177E">
        <w:rPr>
          <w:rFonts w:ascii="Arial" w:hAnsi="Arial" w:cs="Arial"/>
          <w:sz w:val="24"/>
          <w:lang w:val="en-US"/>
        </w:rPr>
        <w:t xml:space="preserve">freedoms of </w:t>
      </w:r>
      <w:r w:rsidR="001B5883" w:rsidRPr="006C177E">
        <w:rPr>
          <w:rFonts w:ascii="Arial" w:hAnsi="Arial" w:cs="Arial"/>
          <w:sz w:val="24"/>
          <w:lang w:val="en-US"/>
        </w:rPr>
        <w:t xml:space="preserve">peaceful assembly </w:t>
      </w:r>
      <w:r w:rsidR="00EB6FA7" w:rsidRPr="006C177E">
        <w:rPr>
          <w:rFonts w:ascii="Arial" w:hAnsi="Arial" w:cs="Arial"/>
          <w:sz w:val="24"/>
          <w:lang w:val="en-US"/>
        </w:rPr>
        <w:t xml:space="preserve">and association </w:t>
      </w:r>
      <w:r w:rsidR="001B5883" w:rsidRPr="006C177E">
        <w:rPr>
          <w:rFonts w:ascii="Arial" w:hAnsi="Arial" w:cs="Arial"/>
          <w:sz w:val="24"/>
          <w:lang w:val="en-US"/>
        </w:rPr>
        <w:t xml:space="preserve">and of opinion and expression, </w:t>
      </w:r>
      <w:r w:rsidRPr="006C177E">
        <w:rPr>
          <w:rFonts w:ascii="Arial" w:hAnsi="Arial" w:cs="Arial"/>
          <w:sz w:val="24"/>
          <w:lang w:val="en-US"/>
        </w:rPr>
        <w:t xml:space="preserve">by inter alia ensuring that the use of police force during </w:t>
      </w:r>
      <w:r w:rsidR="001B5883" w:rsidRPr="006C177E">
        <w:rPr>
          <w:rFonts w:ascii="Arial" w:hAnsi="Arial" w:cs="Arial"/>
          <w:sz w:val="24"/>
          <w:lang w:val="en-US"/>
        </w:rPr>
        <w:t>demonstrations</w:t>
      </w:r>
      <w:r w:rsidRPr="006C177E">
        <w:rPr>
          <w:rFonts w:ascii="Arial" w:hAnsi="Arial" w:cs="Arial"/>
          <w:sz w:val="24"/>
          <w:lang w:val="en-US"/>
        </w:rPr>
        <w:t xml:space="preserve"> is </w:t>
      </w:r>
      <w:r w:rsidR="001B5883" w:rsidRPr="006C177E">
        <w:rPr>
          <w:rFonts w:ascii="Arial" w:hAnsi="Arial" w:cs="Arial"/>
          <w:sz w:val="24"/>
          <w:lang w:val="en-US"/>
        </w:rPr>
        <w:t>proportionate</w:t>
      </w:r>
      <w:r w:rsidR="0008383F" w:rsidRPr="006C177E">
        <w:rPr>
          <w:rFonts w:ascii="Arial" w:hAnsi="Arial" w:cs="Arial"/>
          <w:sz w:val="24"/>
          <w:lang w:val="en-US"/>
        </w:rPr>
        <w:t xml:space="preserve"> </w:t>
      </w:r>
      <w:r w:rsidRPr="006C177E">
        <w:rPr>
          <w:rFonts w:ascii="Arial" w:hAnsi="Arial" w:cs="Arial"/>
          <w:sz w:val="24"/>
          <w:lang w:val="en-US"/>
        </w:rPr>
        <w:t xml:space="preserve">and </w:t>
      </w:r>
      <w:r w:rsidR="0008383F" w:rsidRPr="006C177E">
        <w:rPr>
          <w:rFonts w:ascii="Arial" w:hAnsi="Arial" w:cs="Arial"/>
          <w:sz w:val="24"/>
          <w:lang w:val="en-US"/>
        </w:rPr>
        <w:t>in line with the law the provinces set up in 2011</w:t>
      </w:r>
      <w:r w:rsidR="001B5883" w:rsidRPr="006C177E">
        <w:rPr>
          <w:rFonts w:ascii="Arial" w:hAnsi="Arial" w:cs="Arial"/>
          <w:sz w:val="24"/>
          <w:lang w:val="en-US"/>
        </w:rPr>
        <w:t xml:space="preserve">. </w:t>
      </w:r>
    </w:p>
    <w:p w:rsidR="003A57FD" w:rsidRPr="006C177E" w:rsidRDefault="003A57FD" w:rsidP="006C177E">
      <w:pPr>
        <w:pStyle w:val="Listenabsatz"/>
        <w:rPr>
          <w:rFonts w:ascii="Arial" w:hAnsi="Arial" w:cs="Arial"/>
          <w:sz w:val="24"/>
          <w:lang w:val="en-US"/>
        </w:rPr>
      </w:pPr>
    </w:p>
    <w:p w:rsidR="003A57FD" w:rsidRPr="006C177E" w:rsidRDefault="003A57FD" w:rsidP="0008383F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6C177E">
        <w:rPr>
          <w:rFonts w:ascii="Arial" w:hAnsi="Arial" w:cs="Arial"/>
          <w:sz w:val="24"/>
          <w:lang w:val="en-US"/>
        </w:rPr>
        <w:t>Ensure that all allegations of excessive use of force or arbitrary behavior by state officials including those that may amount to torture or ill-treatment are investigated.</w:t>
      </w:r>
    </w:p>
    <w:p w:rsidR="0008383F" w:rsidRDefault="0008383F" w:rsidP="00A076BA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3D6AEB" w:rsidRPr="00A076BA" w:rsidRDefault="00C2453F" w:rsidP="00A076BA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A076BA">
        <w:rPr>
          <w:rFonts w:ascii="Arial" w:hAnsi="Arial" w:cs="Arial"/>
          <w:sz w:val="24"/>
          <w:lang w:val="en-US"/>
        </w:rPr>
        <w:t>T</w:t>
      </w:r>
      <w:r w:rsidR="00877ADA" w:rsidRPr="00A076BA">
        <w:rPr>
          <w:rFonts w:ascii="Arial" w:hAnsi="Arial" w:cs="Arial"/>
          <w:sz w:val="24"/>
          <w:lang w:val="en-US"/>
        </w:rPr>
        <w:t>hank you.</w:t>
      </w:r>
    </w:p>
    <w:p w:rsidR="003D6AEB" w:rsidRPr="005F1F65" w:rsidRDefault="003D6AEB" w:rsidP="003D6AEB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432B0A" w:rsidRDefault="00432B0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E0F3B" w:rsidRPr="005F1F65" w:rsidRDefault="00432B0A" w:rsidP="003D6AEB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lastRenderedPageBreak/>
        <w:t xml:space="preserve">Advance </w:t>
      </w:r>
      <w:r w:rsidR="00FE0F3B" w:rsidRPr="005F1F65">
        <w:rPr>
          <w:rFonts w:ascii="Arial" w:hAnsi="Arial" w:cs="Arial"/>
          <w:b/>
          <w:sz w:val="24"/>
          <w:lang w:val="en-US"/>
        </w:rPr>
        <w:t>Questions:</w:t>
      </w:r>
    </w:p>
    <w:p w:rsidR="00FE0F3B" w:rsidRPr="005F1F65" w:rsidRDefault="00FE0F3B" w:rsidP="003D6AEB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8A42A0" w:rsidRPr="005F1F65" w:rsidRDefault="00FE0F3B" w:rsidP="00FE0F3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5F1F65">
        <w:rPr>
          <w:rFonts w:ascii="Arial" w:hAnsi="Arial" w:cs="Arial"/>
          <w:sz w:val="24"/>
          <w:lang w:val="en-US"/>
        </w:rPr>
        <w:t xml:space="preserve">We commend Argentina for supporting the situation of women in detention centers. However, </w:t>
      </w:r>
      <w:r w:rsidR="008A42A0" w:rsidRPr="005F1F65">
        <w:rPr>
          <w:rFonts w:ascii="Arial" w:hAnsi="Arial" w:cs="Arial"/>
          <w:b/>
          <w:sz w:val="24"/>
          <w:lang w:val="en-US"/>
        </w:rPr>
        <w:t>prisons</w:t>
      </w:r>
      <w:r w:rsidR="008A42A0" w:rsidRPr="005F1F65">
        <w:rPr>
          <w:rFonts w:ascii="Arial" w:hAnsi="Arial" w:cs="Arial"/>
          <w:sz w:val="24"/>
          <w:lang w:val="en-US"/>
        </w:rPr>
        <w:t xml:space="preserve"> in Argentina </w:t>
      </w:r>
      <w:r w:rsidR="002E3ED0" w:rsidRPr="005F1F65">
        <w:rPr>
          <w:rFonts w:ascii="Arial" w:hAnsi="Arial" w:cs="Arial"/>
          <w:sz w:val="24"/>
          <w:lang w:val="en-US"/>
        </w:rPr>
        <w:t xml:space="preserve">are still </w:t>
      </w:r>
      <w:r w:rsidR="008A42A0" w:rsidRPr="005F1F65">
        <w:rPr>
          <w:rFonts w:ascii="Arial" w:hAnsi="Arial" w:cs="Arial"/>
          <w:sz w:val="24"/>
          <w:lang w:val="en-US"/>
        </w:rPr>
        <w:t>severe</w:t>
      </w:r>
      <w:r w:rsidR="002E3ED0" w:rsidRPr="005F1F65">
        <w:rPr>
          <w:rFonts w:ascii="Arial" w:hAnsi="Arial" w:cs="Arial"/>
          <w:sz w:val="24"/>
          <w:lang w:val="en-US"/>
        </w:rPr>
        <w:t>ly</w:t>
      </w:r>
      <w:r w:rsidR="008A42A0" w:rsidRPr="005F1F65">
        <w:rPr>
          <w:rFonts w:ascii="Arial" w:hAnsi="Arial" w:cs="Arial"/>
          <w:sz w:val="24"/>
          <w:lang w:val="en-US"/>
        </w:rPr>
        <w:t xml:space="preserve"> overcrowd</w:t>
      </w:r>
      <w:r w:rsidR="002E3ED0" w:rsidRPr="005F1F65">
        <w:rPr>
          <w:rFonts w:ascii="Arial" w:hAnsi="Arial" w:cs="Arial"/>
          <w:sz w:val="24"/>
          <w:lang w:val="en-US"/>
        </w:rPr>
        <w:t>ed</w:t>
      </w:r>
      <w:r w:rsidR="008A42A0" w:rsidRPr="005F1F65">
        <w:rPr>
          <w:rFonts w:ascii="Arial" w:hAnsi="Arial" w:cs="Arial"/>
          <w:sz w:val="24"/>
          <w:lang w:val="en-US"/>
        </w:rPr>
        <w:t xml:space="preserve">. </w:t>
      </w:r>
      <w:r w:rsidR="002E3ED0" w:rsidRPr="005F1F65">
        <w:rPr>
          <w:rFonts w:ascii="Arial" w:hAnsi="Arial" w:cs="Arial"/>
          <w:sz w:val="24"/>
          <w:lang w:val="en-US"/>
        </w:rPr>
        <w:t xml:space="preserve">What are </w:t>
      </w:r>
      <w:r w:rsidR="008A42A0" w:rsidRPr="005F1F65">
        <w:rPr>
          <w:rFonts w:ascii="Arial" w:hAnsi="Arial" w:cs="Arial"/>
          <w:sz w:val="24"/>
          <w:lang w:val="en-US"/>
        </w:rPr>
        <w:t>the plans for improving this situation</w:t>
      </w:r>
      <w:r w:rsidR="00432B0A">
        <w:rPr>
          <w:rFonts w:ascii="Arial" w:hAnsi="Arial" w:cs="Arial"/>
          <w:sz w:val="24"/>
          <w:lang w:val="en-US"/>
        </w:rPr>
        <w:t xml:space="preserve"> and reducing long pretrial detention</w:t>
      </w:r>
      <w:r w:rsidR="002E3ED0" w:rsidRPr="005F1F65">
        <w:rPr>
          <w:rFonts w:ascii="Arial" w:hAnsi="Arial" w:cs="Arial"/>
          <w:sz w:val="24"/>
          <w:lang w:val="en-US"/>
        </w:rPr>
        <w:t>?</w:t>
      </w:r>
      <w:r w:rsidR="008A42A0" w:rsidRPr="005F1F65">
        <w:rPr>
          <w:rFonts w:ascii="Arial" w:hAnsi="Arial" w:cs="Arial"/>
          <w:sz w:val="24"/>
          <w:lang w:val="en-US"/>
        </w:rPr>
        <w:t xml:space="preserve"> </w:t>
      </w:r>
      <w:r w:rsidR="002E3ED0" w:rsidRPr="005F1F65">
        <w:rPr>
          <w:rFonts w:ascii="Arial" w:hAnsi="Arial" w:cs="Arial"/>
          <w:sz w:val="24"/>
          <w:lang w:val="en-US"/>
        </w:rPr>
        <w:t>Will non-custodial</w:t>
      </w:r>
      <w:r w:rsidR="009219C2" w:rsidRPr="005F1F65">
        <w:rPr>
          <w:rFonts w:ascii="Arial" w:hAnsi="Arial" w:cs="Arial"/>
          <w:sz w:val="24"/>
          <w:lang w:val="en-US"/>
        </w:rPr>
        <w:t xml:space="preserve"> </w:t>
      </w:r>
      <w:r w:rsidR="008A42A0" w:rsidRPr="005F1F65">
        <w:rPr>
          <w:rFonts w:ascii="Arial" w:hAnsi="Arial" w:cs="Arial"/>
          <w:sz w:val="24"/>
          <w:lang w:val="en-US"/>
        </w:rPr>
        <w:t xml:space="preserve">alternatives </w:t>
      </w:r>
      <w:r w:rsidR="002E3ED0" w:rsidRPr="005F1F65">
        <w:rPr>
          <w:rFonts w:ascii="Arial" w:hAnsi="Arial" w:cs="Arial"/>
          <w:sz w:val="24"/>
          <w:lang w:val="en-US"/>
        </w:rPr>
        <w:t xml:space="preserve">to </w:t>
      </w:r>
      <w:r w:rsidR="008A42A0" w:rsidRPr="005F1F65">
        <w:rPr>
          <w:rFonts w:ascii="Arial" w:hAnsi="Arial" w:cs="Arial"/>
          <w:sz w:val="24"/>
          <w:lang w:val="en-US"/>
        </w:rPr>
        <w:t>pretrial detention be part of the solution</w:t>
      </w:r>
      <w:r w:rsidR="002E3ED0" w:rsidRPr="005F1F65">
        <w:rPr>
          <w:rFonts w:ascii="Arial" w:hAnsi="Arial" w:cs="Arial"/>
          <w:sz w:val="24"/>
          <w:lang w:val="en-US"/>
        </w:rPr>
        <w:t>?</w:t>
      </w:r>
    </w:p>
    <w:p w:rsidR="008A42A0" w:rsidRPr="005F1F65" w:rsidRDefault="008A42A0" w:rsidP="008A42A0">
      <w:pPr>
        <w:pStyle w:val="Listenabsatz"/>
        <w:spacing w:after="0" w:line="240" w:lineRule="auto"/>
        <w:rPr>
          <w:rFonts w:ascii="Arial" w:hAnsi="Arial" w:cs="Arial"/>
          <w:sz w:val="24"/>
          <w:lang w:val="en-US"/>
        </w:rPr>
      </w:pPr>
    </w:p>
    <w:p w:rsidR="00FE0F3B" w:rsidRPr="005F1F65" w:rsidRDefault="00212CE7" w:rsidP="00FE0F3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5F1F65">
        <w:rPr>
          <w:rFonts w:ascii="Arial" w:hAnsi="Arial" w:cs="Arial"/>
          <w:sz w:val="24"/>
          <w:lang w:val="en-US"/>
        </w:rPr>
        <w:t xml:space="preserve">We congratulate Argentina on establishing the </w:t>
      </w:r>
      <w:r w:rsidRPr="005F1F65">
        <w:rPr>
          <w:rFonts w:ascii="Arial" w:hAnsi="Arial" w:cs="Arial"/>
          <w:b/>
          <w:sz w:val="24"/>
          <w:lang w:val="en-US"/>
        </w:rPr>
        <w:t>National Mechanism to the Prevention of Torture</w:t>
      </w:r>
      <w:r w:rsidRPr="005F1F65">
        <w:rPr>
          <w:rFonts w:ascii="Arial" w:hAnsi="Arial" w:cs="Arial"/>
          <w:sz w:val="24"/>
          <w:lang w:val="en-US"/>
        </w:rPr>
        <w:t xml:space="preserve">. </w:t>
      </w:r>
      <w:r w:rsidR="002E3ED0" w:rsidRPr="005F1F65">
        <w:rPr>
          <w:rFonts w:ascii="Arial" w:hAnsi="Arial" w:cs="Arial"/>
          <w:sz w:val="24"/>
          <w:lang w:val="en-US"/>
        </w:rPr>
        <w:t xml:space="preserve">Could Argentina </w:t>
      </w:r>
      <w:r w:rsidRPr="005F1F65">
        <w:rPr>
          <w:rFonts w:ascii="Arial" w:hAnsi="Arial" w:cs="Arial"/>
          <w:sz w:val="24"/>
          <w:lang w:val="en-US"/>
        </w:rPr>
        <w:t>elaborate on the current state of implementation, the composition of its members and when it will be ready to take action</w:t>
      </w:r>
      <w:r w:rsidR="002E3ED0" w:rsidRPr="005F1F65">
        <w:rPr>
          <w:rFonts w:ascii="Arial" w:hAnsi="Arial" w:cs="Arial"/>
          <w:sz w:val="24"/>
          <w:lang w:val="en-US"/>
        </w:rPr>
        <w:t>?</w:t>
      </w:r>
    </w:p>
    <w:p w:rsidR="0083792E" w:rsidRPr="005F1F65" w:rsidRDefault="0083792E" w:rsidP="0083792E">
      <w:pPr>
        <w:pStyle w:val="Listenabsatz"/>
        <w:rPr>
          <w:rFonts w:ascii="Arial" w:hAnsi="Arial" w:cs="Arial"/>
          <w:sz w:val="24"/>
          <w:lang w:val="en-US"/>
        </w:rPr>
      </w:pPr>
    </w:p>
    <w:p w:rsidR="00731027" w:rsidRDefault="002124F8" w:rsidP="002124F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lang w:val="en-US"/>
        </w:rPr>
      </w:pPr>
      <w:r w:rsidRPr="005F1F65">
        <w:rPr>
          <w:rFonts w:ascii="Arial" w:hAnsi="Arial" w:cs="Arial"/>
          <w:sz w:val="24"/>
          <w:lang w:val="en-US"/>
        </w:rPr>
        <w:t xml:space="preserve">Regarding the protection of the right to privacy, what measures are taken to ensure </w:t>
      </w:r>
      <w:r w:rsidRPr="00A076BA">
        <w:rPr>
          <w:rFonts w:ascii="Arial" w:hAnsi="Arial" w:cs="Arial"/>
          <w:b/>
          <w:sz w:val="24"/>
          <w:lang w:val="en-US"/>
        </w:rPr>
        <w:t>independent oversight, transparency and accountability of the future organisms involved</w:t>
      </w:r>
      <w:r w:rsidRPr="005F1F65">
        <w:rPr>
          <w:rFonts w:ascii="Arial" w:hAnsi="Arial" w:cs="Arial"/>
          <w:sz w:val="24"/>
          <w:lang w:val="en-US"/>
        </w:rPr>
        <w:t>, especially concerning the Intelligence Act (Act no. 25.520), as amended by the Federal Intelligence Agency Act (Act. no. 27.126)?</w:t>
      </w:r>
    </w:p>
    <w:p w:rsidR="00731027" w:rsidRPr="005F1F65" w:rsidRDefault="00731027" w:rsidP="005F1F65">
      <w:pPr>
        <w:spacing w:after="0" w:line="240" w:lineRule="auto"/>
        <w:rPr>
          <w:sz w:val="24"/>
          <w:lang w:val="en-US"/>
        </w:rPr>
      </w:pPr>
    </w:p>
    <w:sectPr w:rsidR="00731027" w:rsidRPr="005F1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B5" w:rsidRDefault="004546B5" w:rsidP="004A7ACA">
      <w:pPr>
        <w:spacing w:after="0" w:line="240" w:lineRule="auto"/>
      </w:pPr>
      <w:r>
        <w:separator/>
      </w:r>
    </w:p>
  </w:endnote>
  <w:endnote w:type="continuationSeparator" w:id="0">
    <w:p w:rsidR="004546B5" w:rsidRDefault="004546B5" w:rsidP="004A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B5" w:rsidRDefault="004546B5" w:rsidP="004A7ACA">
      <w:pPr>
        <w:spacing w:after="0" w:line="240" w:lineRule="auto"/>
      </w:pPr>
      <w:r>
        <w:separator/>
      </w:r>
    </w:p>
  </w:footnote>
  <w:footnote w:type="continuationSeparator" w:id="0">
    <w:p w:rsidR="004546B5" w:rsidRDefault="004546B5" w:rsidP="004A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116"/>
    <w:multiLevelType w:val="hybridMultilevel"/>
    <w:tmpl w:val="719E5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332E"/>
    <w:multiLevelType w:val="hybridMultilevel"/>
    <w:tmpl w:val="356CE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0B4"/>
    <w:multiLevelType w:val="hybridMultilevel"/>
    <w:tmpl w:val="ECAE7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F255F"/>
    <w:multiLevelType w:val="hybridMultilevel"/>
    <w:tmpl w:val="5ED6B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14AA"/>
    <w:multiLevelType w:val="hybridMultilevel"/>
    <w:tmpl w:val="ACC6D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7"/>
    <w:rsid w:val="000320DD"/>
    <w:rsid w:val="00035A3D"/>
    <w:rsid w:val="0008383F"/>
    <w:rsid w:val="00092849"/>
    <w:rsid w:val="000A133E"/>
    <w:rsid w:val="000A500F"/>
    <w:rsid w:val="000B39F7"/>
    <w:rsid w:val="000E55D7"/>
    <w:rsid w:val="000F54ED"/>
    <w:rsid w:val="0010597F"/>
    <w:rsid w:val="0011572D"/>
    <w:rsid w:val="001B5883"/>
    <w:rsid w:val="001D05DB"/>
    <w:rsid w:val="002124F8"/>
    <w:rsid w:val="00212CE7"/>
    <w:rsid w:val="00241286"/>
    <w:rsid w:val="002823F7"/>
    <w:rsid w:val="002905BB"/>
    <w:rsid w:val="002E2FDF"/>
    <w:rsid w:val="002E3ED0"/>
    <w:rsid w:val="003A57FD"/>
    <w:rsid w:val="003D6856"/>
    <w:rsid w:val="003D6AEB"/>
    <w:rsid w:val="003E7063"/>
    <w:rsid w:val="00432B0A"/>
    <w:rsid w:val="004546B5"/>
    <w:rsid w:val="004818DE"/>
    <w:rsid w:val="004A7ACA"/>
    <w:rsid w:val="004E2431"/>
    <w:rsid w:val="005050D3"/>
    <w:rsid w:val="00577C36"/>
    <w:rsid w:val="005F1F65"/>
    <w:rsid w:val="006A6056"/>
    <w:rsid w:val="006C177E"/>
    <w:rsid w:val="006F4CB0"/>
    <w:rsid w:val="00711A5D"/>
    <w:rsid w:val="007303D6"/>
    <w:rsid w:val="00731027"/>
    <w:rsid w:val="0077470A"/>
    <w:rsid w:val="00775BCD"/>
    <w:rsid w:val="008339C9"/>
    <w:rsid w:val="0083792E"/>
    <w:rsid w:val="00877ADA"/>
    <w:rsid w:val="0089754C"/>
    <w:rsid w:val="00897902"/>
    <w:rsid w:val="008A42A0"/>
    <w:rsid w:val="0092159F"/>
    <w:rsid w:val="009219C2"/>
    <w:rsid w:val="00950776"/>
    <w:rsid w:val="00A076BA"/>
    <w:rsid w:val="00A903FF"/>
    <w:rsid w:val="00AA3234"/>
    <w:rsid w:val="00AA7774"/>
    <w:rsid w:val="00B17432"/>
    <w:rsid w:val="00BC2D18"/>
    <w:rsid w:val="00BC6657"/>
    <w:rsid w:val="00BD7654"/>
    <w:rsid w:val="00C10C8B"/>
    <w:rsid w:val="00C2453F"/>
    <w:rsid w:val="00C95402"/>
    <w:rsid w:val="00CA77FA"/>
    <w:rsid w:val="00CD0D1C"/>
    <w:rsid w:val="00D35498"/>
    <w:rsid w:val="00D66B68"/>
    <w:rsid w:val="00DB60F1"/>
    <w:rsid w:val="00E008F2"/>
    <w:rsid w:val="00E80FBB"/>
    <w:rsid w:val="00EA4513"/>
    <w:rsid w:val="00EB5592"/>
    <w:rsid w:val="00EB6FA7"/>
    <w:rsid w:val="00F3228D"/>
    <w:rsid w:val="00F67BDE"/>
    <w:rsid w:val="00F70B88"/>
    <w:rsid w:val="00FC319C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1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F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F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F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1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F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F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BFAFF-F4D0-4155-8A2C-21B40693E8FE}"/>
</file>

<file path=customXml/itemProps2.xml><?xml version="1.0" encoding="utf-8"?>
<ds:datastoreItem xmlns:ds="http://schemas.openxmlformats.org/officeDocument/2006/customXml" ds:itemID="{0246FD2A-4FE9-453B-A5C5-7533EEEE4AB8}"/>
</file>

<file path=customXml/itemProps3.xml><?xml version="1.0" encoding="utf-8"?>
<ds:datastoreItem xmlns:ds="http://schemas.openxmlformats.org/officeDocument/2006/customXml" ds:itemID="{AB34E7E8-D825-46E1-86C0-14C8F1B60B99}"/>
</file>

<file path=customXml/itemProps4.xml><?xml version="1.0" encoding="utf-8"?>
<ds:datastoreItem xmlns:ds="http://schemas.openxmlformats.org/officeDocument/2006/customXml" ds:itemID="{85DED299-1418-43B1-9D6C-F87176C94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Kempe, Elisa Charlotte (AA privat)</dc:creator>
  <cp:lastModifiedBy>Rau, Hannah</cp:lastModifiedBy>
  <cp:revision>4</cp:revision>
  <dcterms:created xsi:type="dcterms:W3CDTF">2017-10-27T13:45:00Z</dcterms:created>
  <dcterms:modified xsi:type="dcterms:W3CDTF">2017-11-06T14:47:00Z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