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right"/>
        <w:spacing w:lineRule="auto" w:line="276" w:before="0" w:after="200"/>
        <w:ind w:right="0" w:firstLine="0"/>
        <w:rPr>
          <w:i w:val="1"/>
          <w:position w:val="0"/>
          <w:sz w:val="22"/>
          <w:szCs w:val="22"/>
          <w:u w:val="single"/>
          <w:rFonts w:ascii="Arial" w:eastAsia="Times New Roman" w:hAnsi="Times New Roman" w:hint="default"/>
        </w:rPr>
      </w:pPr>
      <w:r>
        <w:rPr>
          <w:i w:val="1"/>
          <w:position w:val="0"/>
          <w:sz w:val="22"/>
          <w:szCs w:val="22"/>
          <w:u w:val="single"/>
          <w:rFonts w:ascii="Arial" w:eastAsia="Times New Roman" w:hAnsi="Times New Roman" w:hint="default"/>
        </w:rPr>
        <w:t xml:space="preserve">Check against delivery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1087120" cy="815975"/>
            <wp:effectExtent l="0" t="0" r="0" b="5080"/>
            <wp:docPr id="9" name="Picture 1" descr="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90A6C72E-9026-4237-89AE-EE23BF5515A4/tmp/etemp1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8166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>28</w:t>
      </w:r>
      <w:r>
        <w:rPr>
          <w:vertAlign w:val="superscript"/>
          <w:b w:val="1"/>
          <w:position w:val="0"/>
          <w:sz w:val="22"/>
          <w:szCs w:val="22"/>
          <w:rFonts w:ascii="Arial" w:eastAsia="Arial" w:hAnsi="Arial" w:hint="default"/>
        </w:rPr>
        <w:t>th</w:t>
      </w: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 Session of the UPR Working Group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Mongolia’s statement at the Review of Pakistan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13 November 2017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position w:val="0"/>
          <w:sz w:val="22"/>
          <w:szCs w:val="22"/>
          <w:rFonts w:ascii="Arial" w:eastAsia="Times New Roman" w:hAnsi="Times New Roman" w:hint="default"/>
        </w:rPr>
      </w:pP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position w:val="0"/>
          <w:sz w:val="22"/>
          <w:szCs w:val="22"/>
          <w:rFonts w:ascii="Arial" w:eastAsia="Arial" w:hAnsi="Arial" w:hint="default"/>
        </w:rPr>
      </w:pPr>
      <w:r>
        <w:rPr>
          <w:position w:val="0"/>
          <w:sz w:val="22"/>
          <w:szCs w:val="22"/>
          <w:rFonts w:ascii="Arial" w:eastAsia="Arial" w:hAnsi="Arial" w:hint="default"/>
        </w:rPr>
        <w:t xml:space="preserve">Mr. President, 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position w:val="0"/>
          <w:sz w:val="22"/>
          <w:szCs w:val="22"/>
          <w:rFonts w:ascii="Arial" w:eastAsia="Arial" w:hAnsi="Arial" w:hint="default"/>
        </w:rPr>
      </w:pPr>
      <w:r>
        <w:rPr>
          <w:position w:val="0"/>
          <w:sz w:val="22"/>
          <w:szCs w:val="22"/>
          <w:rFonts w:ascii="Arial" w:eastAsia="Arial" w:hAnsi="Arial" w:hint="default"/>
        </w:rPr>
        <w:t xml:space="preserve">First of all, my delegation congratulates Pakistan for becoming a member of the Human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Rights Council and thanks for the presentation of a comprehensive national report. 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position w:val="0"/>
          <w:sz w:val="22"/>
          <w:szCs w:val="22"/>
          <w:rFonts w:ascii="Arial" w:eastAsia="Arial" w:hAnsi="Arial" w:hint="default"/>
        </w:rPr>
      </w:pPr>
      <w:r>
        <w:rPr>
          <w:position w:val="0"/>
          <w:sz w:val="22"/>
          <w:szCs w:val="22"/>
          <w:rFonts w:ascii="Arial" w:eastAsia="Arial" w:hAnsi="Arial" w:hint="default"/>
        </w:rPr>
        <w:t xml:space="preserve">Mongolia commends the policy, legal and institutional measures and initiatives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implemented by the Government of Pakistan to fulfill its obligations under international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instruments and promote and protect the human rights at the national level.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position w:val="0"/>
          <w:sz w:val="22"/>
          <w:szCs w:val="22"/>
          <w:rFonts w:ascii="Arial" w:eastAsia="Arial" w:hAnsi="Arial" w:hint="default"/>
        </w:rPr>
      </w:pPr>
      <w:r>
        <w:rPr>
          <w:position w:val="0"/>
          <w:sz w:val="22"/>
          <w:szCs w:val="22"/>
          <w:rFonts w:ascii="Arial" w:eastAsia="Arial" w:hAnsi="Arial" w:hint="default"/>
        </w:rPr>
        <w:t xml:space="preserve">We welcome the establishment of the Ministry of Human Rights, National Commission on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Human Rights and the adoption of the first National Action Plan on Human Rights in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February 2016 with the involvement of all stakeholders and the civil society. We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appreciate the significant financial resources allocated and wish to encourage the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Government of Pakistan to further strengthen the capacity building of these institutions to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allow for their effective functioning. 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position w:val="0"/>
          <w:sz w:val="22"/>
          <w:szCs w:val="22"/>
          <w:rFonts w:ascii="Arial" w:eastAsia="Arial" w:hAnsi="Arial" w:hint="default"/>
        </w:rPr>
      </w:pPr>
      <w:r>
        <w:rPr>
          <w:position w:val="0"/>
          <w:sz w:val="22"/>
          <w:szCs w:val="22"/>
          <w:rFonts w:ascii="Arial" w:eastAsia="Arial" w:hAnsi="Arial" w:hint="default"/>
        </w:rPr>
        <w:t xml:space="preserve">Mongolia appreciates the ratification of the </w:t>
      </w:r>
      <w:r>
        <w:rPr>
          <w:position w:val="0"/>
          <w:sz w:val="22"/>
          <w:szCs w:val="22"/>
          <w:rFonts w:ascii="Arial" w:eastAsia="Times New Roman" w:hAnsi="Times New Roman" w:hint="default"/>
        </w:rPr>
        <w:t xml:space="preserve">Optional Protocol to the Convention on the </w:t>
      </w:r>
      <w:r>
        <w:rPr>
          <w:position w:val="0"/>
          <w:sz w:val="22"/>
          <w:szCs w:val="22"/>
          <w:rFonts w:ascii="Arial" w:eastAsia="Times New Roman" w:hAnsi="Times New Roman" w:hint="default"/>
        </w:rPr>
        <w:t xml:space="preserve">Rights of the Child and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 wishes to recommend Pakistan to develop a Comprehensive Child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Protection Policy </w:t>
      </w:r>
      <w:r>
        <w:rPr>
          <w:position w:val="0"/>
          <w:sz w:val="22"/>
          <w:szCs w:val="22"/>
          <w:rFonts w:ascii="Arial" w:eastAsia="Times New Roman" w:hAnsi="Times New Roman" w:hint="default"/>
        </w:rPr>
        <w:t>w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ith view to fully reflect the realities of the children in the national plans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and programs.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position w:val="0"/>
          <w:sz w:val="22"/>
          <w:szCs w:val="22"/>
          <w:rFonts w:ascii="Arial" w:eastAsia="Arial" w:hAnsi="Arial" w:hint="default"/>
        </w:rPr>
      </w:pPr>
      <w:r>
        <w:rPr>
          <w:position w:val="0"/>
          <w:sz w:val="22"/>
          <w:szCs w:val="22"/>
          <w:rFonts w:ascii="Arial" w:eastAsia="Arial" w:hAnsi="Arial" w:hint="default"/>
        </w:rPr>
        <w:t xml:space="preserve">Finally, we wish Pakistan every success in the UPR review. 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  <w:r>
        <w:rPr>
          <w:position w:val="0"/>
          <w:sz w:val="22"/>
          <w:szCs w:val="22"/>
          <w:rFonts w:ascii="Arial" w:eastAsia="Arial" w:hAnsi="Arial" w:hint="default"/>
        </w:rPr>
        <w:t xml:space="preserve">            Thank you.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720"/>
        <w:rPr>
          <w:position w:val="0"/>
          <w:sz w:val="22"/>
          <w:szCs w:val="22"/>
          <w:rFonts w:ascii="Arial" w:eastAsia="Arial" w:hAnsi="Arial" w:hint="default"/>
        </w:rPr>
      </w:pPr>
    </w:p>
    <w:sectPr>
      <w:pgSz w:w="12240" w:h="15840"/>
      <w:pgMar w:top="1440" w:left="1620" w:bottom="1440" w:right="117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6E2BC1D4"/>
    <w:lvl w:ilvl="0">
      <w:lvlJc w:val="left"/>
      <w:numFmt w:val="bullet"/>
      <w:start w:val="87"/>
      <w:suff w:val="tab"/>
      <w:pPr>
        <w:ind w:left="720" w:hanging="360"/>
      </w:pPr>
      <w:rPr>
        <w:rFonts w:ascii="Arial" w:eastAsia="Arial" w:hAnsi="Arial"/>
        <w:shd w:val="clear"/>
        <w:sz w:val="20"/>
        <w:szCs w:val="20"/>
        <w:w w:val="100"/>
      </w:rPr>
      <w:lvlText w:val="-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ind w:left="720" w:firstLine="0"/>
      <w:widowControl/>
      <w:wordWrap/>
    </w:pPr>
  </w:style>
  <w:style w:styleId="PO151" w:type="paragraph">
    <w:name w:val="Balloon Text"/>
    <w:basedOn w:val="PO1"/>
    <w:link w:val="PO152"/>
    <w:uiPriority w:val="151"/>
    <w:semiHidden/>
    <w:unhideWhenUsed/>
    <w:pPr>
      <w:autoSpaceDE w:val="1"/>
      <w:autoSpaceDN w:val="1"/>
      <w:widowControl/>
      <w:wordWrap/>
    </w:pPr>
    <w:rPr>
      <w:rFonts w:ascii="Tahoma" w:eastAsia="Tahoma" w:hAnsi="Tahoma"/>
      <w:shd w:val="clear"/>
      <w:sz w:val="16"/>
      <w:szCs w:val="16"/>
      <w:w w:val="100"/>
    </w:rPr>
  </w:style>
  <w:style w:customStyle="1" w:styleId="PO152" w:type="character">
    <w:name w:val="Balloon Text Char"/>
    <w:basedOn w:val="PO2"/>
    <w:link w:val="PO151"/>
    <w:uiPriority w:val="152"/>
    <w:semiHidden/>
    <w:rPr>
      <w:rFonts w:ascii="Tahoma" w:eastAsia="Tahoma" w:hAnsi="Tahoma"/>
      <w:shd w:val="clear"/>
      <w:sz w:val="16"/>
      <w:szCs w:val="16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webSettings" Target="webSettings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FCBF6-DB44-4DED-BCDD-562885238E2A}"/>
</file>

<file path=customXml/itemProps2.xml><?xml version="1.0" encoding="utf-8"?>
<ds:datastoreItem xmlns:ds="http://schemas.openxmlformats.org/officeDocument/2006/customXml" ds:itemID="{0C674036-A64F-48EF-BBF9-DE131D6D7EF5}"/>
</file>

<file path=customXml/itemProps3.xml><?xml version="1.0" encoding="utf-8"?>
<ds:datastoreItem xmlns:ds="http://schemas.openxmlformats.org/officeDocument/2006/customXml" ds:itemID="{81797E2C-1EEF-4E42-9394-EDEF0BECC7D6}"/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Microsoft</Company>
  <DocSecurity>0</DocSecurity>
  <HyperlinksChanged>false</HyperlinksChanged>
  <Lines>10</Lines>
  <LinksUpToDate>false</LinksUpToDate>
  <Pages>1</Pages>
  <Paragraphs>2</Paragraphs>
  <Words>215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guest  </cp:lastModifiedBy>
  <cp:revision>3</cp:revision>
  <dcterms:modified xsi:type="dcterms:W3CDTF">2017-11-01T21:19:00Z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