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right"/>
        <w:spacing w:lineRule="auto" w:line="276" w:before="0" w:after="200"/>
        <w:ind w:right="0" w:firstLine="0"/>
        <w:rPr>
          <w:i w:val="1"/>
          <w:position w:val="0"/>
          <w:sz w:val="22"/>
          <w:szCs w:val="22"/>
          <w:u w:val="single"/>
          <w:rFonts w:ascii="Arial" w:eastAsia="Arial" w:hAnsi="Arial" w:hint="default"/>
        </w:rPr>
      </w:pPr>
      <w:r>
        <w:rPr>
          <w:i w:val="1"/>
          <w:position w:val="0"/>
          <w:sz w:val="22"/>
          <w:szCs w:val="22"/>
          <w:u w:val="single"/>
          <w:rFonts w:ascii="Arial" w:eastAsia="Arial" w:hAnsi="Arial" w:hint="default"/>
        </w:rPr>
        <w:t xml:space="preserve">Check against delivery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  <w:r>
        <w:rPr>
          <w:sz w:val="20"/>
        </w:rPr>
        <w:drawing>
          <wp:inline distT="0" distB="0" distL="0" distR="0">
            <wp:extent cx="1085850" cy="814705"/>
            <wp:effectExtent l="0" t="0" r="0" b="5080"/>
            <wp:docPr id="9" name="Picture 1" descr="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90A6C72E-9026-4237-89AE-EE23BF5515A4/tmp/etemp1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81534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position w:val="0"/>
          <w:sz w:val="24"/>
          <w:szCs w:val="24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Arial" w:eastAsia="Arial" w:hAnsi="Arial" w:hint="default"/>
        </w:rPr>
      </w:pPr>
      <w:r>
        <w:rPr>
          <w:b w:val="1"/>
          <w:position w:val="0"/>
          <w:sz w:val="24"/>
          <w:szCs w:val="24"/>
          <w:rFonts w:ascii="Arial" w:eastAsia="Arial" w:hAnsi="Arial" w:hint="default"/>
        </w:rPr>
        <w:t>28</w:t>
      </w:r>
      <w:r>
        <w:rPr>
          <w:vertAlign w:val="superscript"/>
          <w:b w:val="1"/>
          <w:position w:val="0"/>
          <w:sz w:val="24"/>
          <w:szCs w:val="24"/>
          <w:rFonts w:ascii="Arial" w:eastAsia="Arial" w:hAnsi="Arial" w:hint="default"/>
        </w:rPr>
        <w:t>th</w:t>
      </w:r>
      <w:r>
        <w:rPr>
          <w:b w:val="1"/>
          <w:position w:val="0"/>
          <w:sz w:val="24"/>
          <w:szCs w:val="24"/>
          <w:rFonts w:ascii="Arial" w:eastAsia="Arial" w:hAnsi="Arial" w:hint="default"/>
        </w:rPr>
        <w:t xml:space="preserve"> Session of the UPR Working Group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Arial" w:eastAsia="Arial" w:hAnsi="Arial" w:hint="default"/>
        </w:rPr>
      </w:pPr>
      <w:r>
        <w:rPr>
          <w:b w:val="1"/>
          <w:position w:val="0"/>
          <w:sz w:val="24"/>
          <w:szCs w:val="24"/>
          <w:rFonts w:ascii="Arial" w:eastAsia="Arial" w:hAnsi="Arial" w:hint="default"/>
        </w:rPr>
        <w:t xml:space="preserve">Mongolia’s statement at the Review of Ukraine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Arial" w:eastAsia="Arial" w:hAnsi="Arial" w:hint="default"/>
        </w:rPr>
      </w:pPr>
      <w:r>
        <w:rPr>
          <w:b w:val="1"/>
          <w:position w:val="0"/>
          <w:sz w:val="24"/>
          <w:szCs w:val="24"/>
          <w:rFonts w:ascii="Arial" w:eastAsia="Arial" w:hAnsi="Arial" w:hint="default"/>
        </w:rPr>
        <w:t xml:space="preserve">15 November 2017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720"/>
        <w:rPr>
          <w:position w:val="0"/>
          <w:sz w:val="22"/>
          <w:szCs w:val="22"/>
          <w:rFonts w:ascii="Arial" w:eastAsia="Arial" w:hAnsi="Arial" w:hint="default"/>
        </w:rPr>
      </w:pPr>
      <w:r>
        <w:rPr>
          <w:position w:val="0"/>
          <w:sz w:val="22"/>
          <w:szCs w:val="22"/>
          <w:rFonts w:ascii="Arial" w:eastAsia="Arial" w:hAnsi="Arial" w:hint="default"/>
        </w:rPr>
        <w:t xml:space="preserve">Mr. President,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720"/>
        <w:rPr>
          <w:position w:val="0"/>
          <w:sz w:val="22"/>
          <w:szCs w:val="22"/>
          <w:rFonts w:ascii="Arial" w:eastAsia="Arial" w:hAnsi="Arial" w:hint="default"/>
        </w:rPr>
      </w:pPr>
      <w:r>
        <w:rPr>
          <w:position w:val="0"/>
          <w:sz w:val="22"/>
          <w:szCs w:val="22"/>
          <w:rFonts w:ascii="Arial" w:eastAsia="Arial" w:hAnsi="Arial" w:hint="default"/>
        </w:rPr>
        <w:t xml:space="preserve">At the outset, Mongolia warmly welcomes the delegation of Ukraine and thanks the head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of the delegation for the presentation of the national report and updates provided.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720"/>
        <w:rPr>
          <w:position w:val="0"/>
          <w:sz w:val="22"/>
          <w:szCs w:val="22"/>
          <w:rFonts w:ascii="Arial" w:eastAsia="Arial" w:hAnsi="Arial" w:hint="default"/>
        </w:rPr>
      </w:pPr>
      <w:r>
        <w:rPr>
          <w:position w:val="0"/>
          <w:sz w:val="22"/>
          <w:szCs w:val="22"/>
          <w:rFonts w:ascii="Arial" w:eastAsia="Arial" w:hAnsi="Arial" w:hint="default"/>
        </w:rPr>
        <w:t xml:space="preserve">We welcome the amendments to the Constitution of Ukraine in June 2016, particularly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those aimed at creating legal conditions for an independent judiciary and transparent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procedures for appointment of judges.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720"/>
        <w:rPr>
          <w:position w:val="0"/>
          <w:sz w:val="22"/>
          <w:szCs w:val="22"/>
          <w:rFonts w:ascii="Arial" w:eastAsia="Arial" w:hAnsi="Arial" w:hint="default"/>
        </w:rPr>
      </w:pPr>
      <w:r>
        <w:rPr>
          <w:position w:val="0"/>
          <w:sz w:val="22"/>
          <w:szCs w:val="22"/>
          <w:rFonts w:ascii="Arial" w:eastAsia="Arial" w:hAnsi="Arial" w:hint="default"/>
        </w:rPr>
        <w:t xml:space="preserve">We also welcome other legislative and institutional changes that have taken place over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the reporting period, including the establishment of the National Preventive Mechanism, Office of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the Commissioner for Gender Equality as well as appointment of the Commissioner for the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Rights of Persons with Disabilities. We take note of the efforts of the Government of Ukraine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aimed at improving the juvenile justice system through the establishment of Coordinating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Council on Juvenile Justice and Juvenile Probation Centers across Ukraine. We encourage the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Government of Ukraine further provide these institutions with adequate human and financial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resources to allow for their effective functioning.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720"/>
        <w:rPr>
          <w:position w:val="0"/>
          <w:sz w:val="22"/>
          <w:szCs w:val="22"/>
          <w:rFonts w:ascii="Arial" w:eastAsia="Arial" w:hAnsi="Arial" w:hint="default"/>
        </w:rPr>
      </w:pPr>
      <w:r>
        <w:rPr>
          <w:position w:val="0"/>
          <w:sz w:val="22"/>
          <w:szCs w:val="22"/>
          <w:rFonts w:ascii="Arial" w:eastAsia="Arial" w:hAnsi="Arial" w:hint="default"/>
        </w:rPr>
        <w:t xml:space="preserve">While commending the efforts of Ukraine to address the issue of gender-based violence,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Mongolia expresses its concern that domestic and sexual violence still remain prevalent in the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country. In this regard, we wish to recommend Ukraine to criminalize domestic violence and take </w:t>
      </w:r>
      <w:r>
        <w:rPr>
          <w:position w:val="0"/>
          <w:sz w:val="22"/>
          <w:szCs w:val="22"/>
          <w:rFonts w:ascii="Arial" w:eastAsia="Arial" w:hAnsi="Arial" w:hint="default"/>
        </w:rPr>
        <w:t xml:space="preserve">comprehensive measures to address violence against women and girls.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720"/>
        <w:rPr>
          <w:position w:val="0"/>
          <w:sz w:val="22"/>
          <w:szCs w:val="22"/>
          <w:rFonts w:ascii="Arial" w:eastAsia="Arial" w:hAnsi="Arial" w:hint="default"/>
        </w:rPr>
      </w:pPr>
      <w:r>
        <w:rPr>
          <w:position w:val="0"/>
          <w:sz w:val="22"/>
          <w:szCs w:val="22"/>
          <w:rFonts w:ascii="Arial" w:eastAsia="Arial" w:hAnsi="Arial" w:hint="default"/>
        </w:rPr>
        <w:t xml:space="preserve">Finally, we wish Ukraine a successful UPR review process.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720"/>
        <w:rPr>
          <w:position w:val="0"/>
          <w:sz w:val="22"/>
          <w:szCs w:val="22"/>
          <w:rFonts w:ascii="Arial" w:eastAsia="Arial" w:hAnsi="Arial" w:hint="default"/>
        </w:rPr>
      </w:pPr>
      <w:r>
        <w:rPr>
          <w:position w:val="0"/>
          <w:sz w:val="22"/>
          <w:szCs w:val="22"/>
          <w:rFonts w:ascii="Arial" w:eastAsia="Arial" w:hAnsi="Arial" w:hint="default"/>
        </w:rPr>
        <w:t xml:space="preserve">Thank you.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720"/>
        <w:rPr>
          <w:position w:val="0"/>
          <w:sz w:val="22"/>
          <w:szCs w:val="22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720"/>
        <w:rPr>
          <w:position w:val="0"/>
          <w:sz w:val="22"/>
          <w:szCs w:val="22"/>
          <w:rFonts w:ascii="Arial" w:eastAsia="Arial" w:hAnsi="Arial" w:hint="default"/>
        </w:rPr>
      </w:pPr>
    </w:p>
    <w:sectPr>
      <w:pgSz w:w="12240" w:h="15840"/>
      <w:pgMar w:top="1440" w:left="1440" w:bottom="1440" w:right="144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51" w:type="paragraph">
    <w:name w:val="Balloon Text"/>
    <w:basedOn w:val="PO1"/>
    <w:link w:val="PO152"/>
    <w:uiPriority w:val="151"/>
    <w:semiHidden/>
    <w:unhideWhenUsed/>
    <w:pPr>
      <w:autoSpaceDE w:val="1"/>
      <w:autoSpaceDN w:val="1"/>
      <w:widowControl/>
      <w:wordWrap/>
    </w:pPr>
    <w:rPr>
      <w:rFonts w:ascii="Tahoma" w:eastAsia="Tahoma" w:hAnsi="Tahoma"/>
      <w:shd w:val="clear"/>
      <w:sz w:val="16"/>
      <w:szCs w:val="16"/>
      <w:w w:val="100"/>
    </w:rPr>
  </w:style>
  <w:style w:customStyle="1" w:styleId="PO152" w:type="character">
    <w:name w:val="Balloon Text Char"/>
    <w:basedOn w:val="PO2"/>
    <w:link w:val="PO151"/>
    <w:uiPriority w:val="152"/>
    <w:semiHidden/>
    <w:rPr>
      <w:rFonts w:ascii="Tahoma" w:eastAsia="Tahoma" w:hAnsi="Tahoma"/>
      <w:shd w:val="clear"/>
      <w:sz w:val="16"/>
      <w:szCs w:val="16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webSettings" Target="webSettings.xml"/><Relationship Id="rId6" Type="http://schemas.openxmlformats.org/officeDocument/2006/relationships/theme" Target="theme/theme1.xml"/><Relationship Id="rId5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8A0A2-9D11-437A-8CF0-44631E49B2EF}"/>
</file>

<file path=customXml/itemProps2.xml><?xml version="1.0" encoding="utf-8"?>
<ds:datastoreItem xmlns:ds="http://schemas.openxmlformats.org/officeDocument/2006/customXml" ds:itemID="{F730F4DF-2BE7-42AB-A7EE-D0F75801BE15}"/>
</file>

<file path=customXml/itemProps3.xml><?xml version="1.0" encoding="utf-8"?>
<ds:datastoreItem xmlns:ds="http://schemas.openxmlformats.org/officeDocument/2006/customXml" ds:itemID="{7EA26701-4F42-4B1F-BE84-8764F22DB49D}"/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1659</Characters>
  <CharactersWithSpaces>0</CharactersWithSpaces>
  <Company>Microsoft</Company>
  <DocSecurity>0</DocSecurity>
  <HyperlinksChanged>false</HyperlinksChanged>
  <Lines>11</Lines>
  <LinksUpToDate>false</LinksUpToDate>
  <Pages>1</Pages>
  <Paragraphs>3</Paragraphs>
  <Words>248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guest  </cp:lastModifiedBy>
  <cp:revision>3</cp:revision>
  <dcterms:modified xsi:type="dcterms:W3CDTF">2017-11-14T18:24:00Z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