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3B4ED0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3B4ED0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3B4ED0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1418F238" w14:textId="77777777" w:rsidR="0086701B" w:rsidRPr="003B4ED0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gram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gram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C10FA1B" w14:textId="77777777" w:rsidR="0086701B" w:rsidRPr="003B4ED0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3B4ED0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3B4ED0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3B4ED0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3B4ED0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 w:rsidRPr="003B4ED0"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3B4ED0">
        <w:rPr>
          <w:rFonts w:eastAsia="Times New Roman" w:cs="Times New Roman"/>
          <w:b/>
          <w:sz w:val="14"/>
          <w:szCs w:val="14"/>
          <w:lang w:val="it-IT" w:eastAsia="ru-RU"/>
        </w:rPr>
        <w:t>237 Route des Fayards, CH-1290</w:t>
      </w:r>
      <w:r w:rsidRPr="003B4ED0">
        <w:rPr>
          <w:rFonts w:eastAsia="Times New Roman" w:cs="Times New Roman"/>
          <w:b/>
          <w:sz w:val="14"/>
          <w:szCs w:val="14"/>
          <w:lang w:val="it-IT" w:eastAsia="ru-RU"/>
        </w:rPr>
        <w:t xml:space="preserve"> Versoix</w:t>
      </w:r>
      <w:r w:rsidR="00780ED8" w:rsidRPr="003B4ED0">
        <w:rPr>
          <w:rFonts w:eastAsia="Times New Roman" w:cs="Times New Roman"/>
          <w:b/>
          <w:sz w:val="14"/>
          <w:szCs w:val="14"/>
          <w:lang w:val="it-IT" w:eastAsia="ru-RU"/>
        </w:rPr>
        <w:t xml:space="preserve">, Switzerland  </w:t>
      </w:r>
      <w:r w:rsidR="0086701B" w:rsidRPr="003B4ED0">
        <w:rPr>
          <w:rFonts w:eastAsia="Times New Roman" w:cs="Times New Roman"/>
          <w:b/>
          <w:sz w:val="14"/>
          <w:szCs w:val="14"/>
          <w:lang w:val="it-IT" w:eastAsia="ru-RU"/>
        </w:rPr>
        <w:t>Tel: +41 (22) 9</w:t>
      </w:r>
      <w:r w:rsidR="00780ED8" w:rsidRPr="003B4ED0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3B4ED0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 w:rsidRPr="003B4ED0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3B4ED0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3B4ED0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3B4ED0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3B4ED0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3B4ED0" w:rsidRDefault="00A27886" w:rsidP="00A27886">
      <w:pPr>
        <w:ind w:left="5664" w:right="-427"/>
        <w:rPr>
          <w:rFonts w:cs="Times New Roman"/>
          <w:b/>
          <w:i/>
          <w:sz w:val="24"/>
          <w:szCs w:val="24"/>
          <w:u w:val="single"/>
          <w:lang w:val="en-GB"/>
        </w:rPr>
      </w:pPr>
      <w:r w:rsidRPr="003B4ED0">
        <w:rPr>
          <w:rFonts w:cs="Times New Roman"/>
          <w:i/>
          <w:lang w:val="fr-FR"/>
        </w:rPr>
        <w:tab/>
      </w:r>
      <w:r w:rsidRPr="003B4ED0">
        <w:rPr>
          <w:rFonts w:cs="Times New Roman"/>
          <w:i/>
          <w:lang w:val="fr-FR"/>
        </w:rPr>
        <w:tab/>
      </w:r>
      <w:r w:rsidR="00780ED8" w:rsidRPr="003B4ED0">
        <w:rPr>
          <w:rFonts w:cs="Times New Roman"/>
          <w:i/>
          <w:lang w:val="fr-FR"/>
        </w:rPr>
        <w:t xml:space="preserve">              </w:t>
      </w:r>
      <w:r w:rsidR="00646456" w:rsidRPr="003B4ED0">
        <w:rPr>
          <w:rFonts w:cs="Times New Roman"/>
          <w:i/>
          <w:sz w:val="24"/>
          <w:szCs w:val="24"/>
          <w:u w:val="single"/>
          <w:lang w:val="en-GB"/>
        </w:rPr>
        <w:t>Check against delivery</w:t>
      </w:r>
    </w:p>
    <w:p w14:paraId="7FB785D7" w14:textId="77777777" w:rsidR="00B972C3" w:rsidRPr="003B4ED0" w:rsidRDefault="00B972C3" w:rsidP="00B972C3">
      <w:pPr>
        <w:jc w:val="center"/>
        <w:rPr>
          <w:rFonts w:cs="Times New Roman"/>
          <w:b/>
          <w:szCs w:val="28"/>
          <w:lang w:val="en-GB"/>
        </w:rPr>
      </w:pPr>
    </w:p>
    <w:p w14:paraId="3E968E8E" w14:textId="77777777" w:rsidR="00B972C3" w:rsidRPr="003B4ED0" w:rsidRDefault="00B972C3" w:rsidP="00B972C3">
      <w:pPr>
        <w:jc w:val="center"/>
        <w:rPr>
          <w:rFonts w:cs="Times New Roman"/>
          <w:b/>
          <w:szCs w:val="28"/>
          <w:lang w:val="en-GB"/>
        </w:rPr>
      </w:pPr>
      <w:r w:rsidRPr="003B4ED0">
        <w:rPr>
          <w:rFonts w:cs="Times New Roman"/>
          <w:b/>
          <w:szCs w:val="28"/>
          <w:lang w:val="en-GB"/>
        </w:rPr>
        <w:t>2</w:t>
      </w:r>
      <w:r w:rsidR="00153CFC" w:rsidRPr="003B4ED0">
        <w:rPr>
          <w:rFonts w:cs="Times New Roman"/>
          <w:b/>
          <w:szCs w:val="28"/>
          <w:lang w:val="en-GB"/>
        </w:rPr>
        <w:t>8</w:t>
      </w:r>
      <w:r w:rsidRPr="003B4ED0">
        <w:rPr>
          <w:rFonts w:cs="Times New Roman"/>
          <w:b/>
          <w:szCs w:val="28"/>
          <w:vertAlign w:val="superscript"/>
          <w:lang w:val="en-GB"/>
        </w:rPr>
        <w:t>th</w:t>
      </w:r>
      <w:r w:rsidRPr="003B4ED0">
        <w:rPr>
          <w:rFonts w:cs="Times New Roman"/>
          <w:b/>
          <w:szCs w:val="28"/>
          <w:lang w:val="en-GB"/>
        </w:rPr>
        <w:t xml:space="preserve"> session of the UPR Working Group</w:t>
      </w:r>
    </w:p>
    <w:p w14:paraId="30E7A465" w14:textId="1EBF791F" w:rsidR="00B972C3" w:rsidRPr="003B4ED0" w:rsidRDefault="00B972C3" w:rsidP="00B972C3">
      <w:pPr>
        <w:jc w:val="center"/>
        <w:rPr>
          <w:rFonts w:cs="Times New Roman"/>
          <w:b/>
          <w:szCs w:val="28"/>
          <w:lang w:val="en-GB"/>
        </w:rPr>
      </w:pPr>
      <w:r w:rsidRPr="003B4ED0">
        <w:rPr>
          <w:rFonts w:cs="Times New Roman"/>
          <w:b/>
          <w:szCs w:val="28"/>
          <w:lang w:val="en-GB"/>
        </w:rPr>
        <w:t xml:space="preserve">UPR of </w:t>
      </w:r>
      <w:r w:rsidR="00C94DCD" w:rsidRPr="003B4ED0">
        <w:rPr>
          <w:rFonts w:cs="Times New Roman"/>
          <w:b/>
          <w:szCs w:val="28"/>
        </w:rPr>
        <w:t>Peru</w:t>
      </w:r>
    </w:p>
    <w:p w14:paraId="419A831E" w14:textId="77777777" w:rsidR="00BA520B" w:rsidRPr="003B4ED0" w:rsidRDefault="00BA520B" w:rsidP="00646456">
      <w:pPr>
        <w:jc w:val="center"/>
        <w:rPr>
          <w:rFonts w:cs="Times New Roman"/>
          <w:b/>
          <w:szCs w:val="28"/>
          <w:lang w:val="en-GB"/>
        </w:rPr>
      </w:pPr>
    </w:p>
    <w:p w14:paraId="5FA4FA3A" w14:textId="77777777" w:rsidR="00646456" w:rsidRPr="003B4ED0" w:rsidRDefault="00646456" w:rsidP="00646456">
      <w:pPr>
        <w:jc w:val="center"/>
        <w:rPr>
          <w:rFonts w:cs="Times New Roman"/>
          <w:b/>
          <w:szCs w:val="28"/>
          <w:lang w:val="en-GB"/>
        </w:rPr>
      </w:pPr>
      <w:r w:rsidRPr="003B4ED0">
        <w:rPr>
          <w:rFonts w:cs="Times New Roman"/>
          <w:b/>
          <w:szCs w:val="28"/>
          <w:lang w:val="en-GB"/>
        </w:rPr>
        <w:t>Statement</w:t>
      </w:r>
    </w:p>
    <w:p w14:paraId="5720653A" w14:textId="77777777" w:rsidR="00646456" w:rsidRPr="003B4ED0" w:rsidRDefault="00B972C3" w:rsidP="00646456">
      <w:pPr>
        <w:jc w:val="center"/>
        <w:rPr>
          <w:rFonts w:cs="Times New Roman"/>
          <w:b/>
          <w:szCs w:val="28"/>
          <w:lang w:val="en-GB"/>
        </w:rPr>
      </w:pPr>
      <w:proofErr w:type="gramStart"/>
      <w:r w:rsidRPr="003B4ED0">
        <w:rPr>
          <w:rFonts w:cs="Times New Roman"/>
          <w:b/>
          <w:szCs w:val="28"/>
          <w:lang w:val="en-GB"/>
        </w:rPr>
        <w:t>delivered</w:t>
      </w:r>
      <w:proofErr w:type="gramEnd"/>
      <w:r w:rsidRPr="003B4ED0">
        <w:rPr>
          <w:rFonts w:cs="Times New Roman"/>
          <w:b/>
          <w:szCs w:val="28"/>
          <w:lang w:val="en-GB"/>
        </w:rPr>
        <w:t xml:space="preserve"> by </w:t>
      </w:r>
      <w:proofErr w:type="spellStart"/>
      <w:r w:rsidRPr="003B4ED0">
        <w:rPr>
          <w:rFonts w:cs="Times New Roman"/>
          <w:b/>
          <w:szCs w:val="28"/>
          <w:lang w:val="en-GB"/>
        </w:rPr>
        <w:t>Emin</w:t>
      </w:r>
      <w:proofErr w:type="spellEnd"/>
      <w:r w:rsidRPr="003B4ED0">
        <w:rPr>
          <w:rFonts w:cs="Times New Roman"/>
          <w:b/>
          <w:szCs w:val="28"/>
          <w:lang w:val="en-GB"/>
        </w:rPr>
        <w:t xml:space="preserve"> </w:t>
      </w:r>
      <w:proofErr w:type="spellStart"/>
      <w:r w:rsidRPr="003B4ED0">
        <w:rPr>
          <w:rFonts w:cs="Times New Roman"/>
          <w:b/>
          <w:szCs w:val="28"/>
          <w:lang w:val="en-GB"/>
        </w:rPr>
        <w:t>Aslanov</w:t>
      </w:r>
      <w:proofErr w:type="spellEnd"/>
      <w:r w:rsidRPr="003B4ED0">
        <w:rPr>
          <w:rFonts w:cs="Times New Roman"/>
          <w:b/>
          <w:szCs w:val="28"/>
          <w:lang w:val="en-GB"/>
        </w:rPr>
        <w:t>, Second secretary of the Permanent Mission of the Republic of Azerbaijan to the UN Office and other International Organizations in Geneva</w:t>
      </w:r>
    </w:p>
    <w:p w14:paraId="10D839F7" w14:textId="77777777" w:rsidR="00B972C3" w:rsidRPr="003B4ED0" w:rsidRDefault="00B972C3" w:rsidP="00646456">
      <w:pPr>
        <w:jc w:val="center"/>
        <w:rPr>
          <w:rFonts w:cs="Times New Roman"/>
          <w:b/>
          <w:szCs w:val="28"/>
          <w:lang w:val="en-GB"/>
        </w:rPr>
      </w:pPr>
    </w:p>
    <w:p w14:paraId="52346EAE" w14:textId="64DC3918" w:rsidR="00646456" w:rsidRPr="003B4ED0" w:rsidRDefault="00831908" w:rsidP="00646456">
      <w:pPr>
        <w:jc w:val="center"/>
        <w:rPr>
          <w:rFonts w:cs="Times New Roman"/>
          <w:b/>
          <w:szCs w:val="28"/>
          <w:lang w:val="en-GB"/>
        </w:rPr>
      </w:pPr>
      <w:r>
        <w:rPr>
          <w:rFonts w:cs="Times New Roman"/>
          <w:b/>
          <w:szCs w:val="28"/>
          <w:lang w:val="en-GB"/>
        </w:rPr>
        <w:t>8</w:t>
      </w:r>
      <w:r w:rsidR="00153CFC" w:rsidRPr="003B4ED0">
        <w:rPr>
          <w:rFonts w:cs="Times New Roman"/>
          <w:b/>
          <w:szCs w:val="28"/>
          <w:lang w:val="en-GB"/>
        </w:rPr>
        <w:t xml:space="preserve"> November </w:t>
      </w:r>
      <w:r w:rsidR="00646456" w:rsidRPr="003B4ED0">
        <w:rPr>
          <w:rFonts w:cs="Times New Roman"/>
          <w:b/>
          <w:szCs w:val="28"/>
          <w:lang w:val="en-GB"/>
        </w:rPr>
        <w:t>201</w:t>
      </w:r>
      <w:r w:rsidR="006674DD" w:rsidRPr="003B4ED0">
        <w:rPr>
          <w:rFonts w:cs="Times New Roman"/>
          <w:b/>
          <w:szCs w:val="28"/>
          <w:lang w:val="en-GB"/>
        </w:rPr>
        <w:t>7</w:t>
      </w:r>
    </w:p>
    <w:p w14:paraId="4086DAA9" w14:textId="77777777" w:rsidR="00A27886" w:rsidRPr="003B4ED0" w:rsidRDefault="00A27886" w:rsidP="00646456">
      <w:pPr>
        <w:rPr>
          <w:rFonts w:cs="Times New Roman"/>
          <w:szCs w:val="28"/>
          <w:lang w:val="en-GB"/>
        </w:rPr>
      </w:pPr>
    </w:p>
    <w:p w14:paraId="078FD9D5" w14:textId="77777777" w:rsidR="003B4ED0" w:rsidRDefault="003B4ED0" w:rsidP="00C169A7">
      <w:pPr>
        <w:jc w:val="both"/>
        <w:rPr>
          <w:rFonts w:cs="Times New Roman"/>
          <w:szCs w:val="28"/>
        </w:rPr>
      </w:pPr>
    </w:p>
    <w:p w14:paraId="107F49E2" w14:textId="7E841564" w:rsidR="00C169A7" w:rsidRPr="003B4ED0" w:rsidRDefault="00451FAF" w:rsidP="00C169A7">
      <w:pPr>
        <w:jc w:val="both"/>
        <w:rPr>
          <w:rFonts w:cs="Times New Roman"/>
          <w:szCs w:val="28"/>
        </w:rPr>
      </w:pPr>
      <w:r w:rsidRPr="003B4ED0">
        <w:rPr>
          <w:rFonts w:cs="Times New Roman"/>
          <w:szCs w:val="28"/>
        </w:rPr>
        <w:t xml:space="preserve">Thank you </w:t>
      </w:r>
      <w:r w:rsidR="0075419D" w:rsidRPr="003B4ED0">
        <w:rPr>
          <w:rFonts w:cs="Times New Roman"/>
          <w:szCs w:val="28"/>
        </w:rPr>
        <w:t xml:space="preserve">Mr. </w:t>
      </w:r>
      <w:r w:rsidRPr="003B4ED0">
        <w:rPr>
          <w:rFonts w:cs="Times New Roman"/>
          <w:szCs w:val="28"/>
        </w:rPr>
        <w:t xml:space="preserve">Vice-President, </w:t>
      </w:r>
    </w:p>
    <w:p w14:paraId="7E421753" w14:textId="77777777" w:rsidR="00C169A7" w:rsidRPr="003B4ED0" w:rsidRDefault="00C169A7" w:rsidP="00C169A7">
      <w:pPr>
        <w:jc w:val="both"/>
        <w:rPr>
          <w:rFonts w:cs="Times New Roman"/>
          <w:szCs w:val="28"/>
        </w:rPr>
      </w:pPr>
    </w:p>
    <w:p w14:paraId="160B6768" w14:textId="77777777" w:rsidR="00644932" w:rsidRPr="003B4ED0" w:rsidRDefault="00A666B9" w:rsidP="00644932">
      <w:pPr>
        <w:jc w:val="both"/>
        <w:rPr>
          <w:rFonts w:cs="Times New Roman"/>
          <w:szCs w:val="28"/>
        </w:rPr>
      </w:pPr>
      <w:r w:rsidRPr="003B4ED0">
        <w:rPr>
          <w:rFonts w:cs="Times New Roman"/>
          <w:szCs w:val="28"/>
        </w:rPr>
        <w:t>Azerbaijan</w:t>
      </w:r>
      <w:r w:rsidR="00153CFC" w:rsidRPr="003B4ED0">
        <w:rPr>
          <w:rFonts w:cs="Times New Roman"/>
          <w:szCs w:val="28"/>
        </w:rPr>
        <w:t xml:space="preserve"> </w:t>
      </w:r>
      <w:r w:rsidR="00C94DCD" w:rsidRPr="003B4ED0">
        <w:rPr>
          <w:rFonts w:cs="Times New Roman"/>
          <w:szCs w:val="28"/>
        </w:rPr>
        <w:t xml:space="preserve">warmly welcomes </w:t>
      </w:r>
      <w:r w:rsidR="00153CFC" w:rsidRPr="003B4ED0">
        <w:rPr>
          <w:rFonts w:cs="Times New Roman"/>
          <w:szCs w:val="28"/>
        </w:rPr>
        <w:t xml:space="preserve">the </w:t>
      </w:r>
      <w:r w:rsidR="008B2B15" w:rsidRPr="003B4ED0">
        <w:rPr>
          <w:rFonts w:cs="Times New Roman"/>
          <w:szCs w:val="28"/>
        </w:rPr>
        <w:t xml:space="preserve">delegation of </w:t>
      </w:r>
      <w:r w:rsidR="00C94DCD" w:rsidRPr="003B4ED0">
        <w:rPr>
          <w:rFonts w:cs="Times New Roman"/>
          <w:szCs w:val="28"/>
        </w:rPr>
        <w:t>Peru</w:t>
      </w:r>
      <w:r w:rsidR="008B2B15" w:rsidRPr="003B4ED0">
        <w:rPr>
          <w:rFonts w:cs="Times New Roman"/>
          <w:szCs w:val="28"/>
        </w:rPr>
        <w:t xml:space="preserve"> </w:t>
      </w:r>
      <w:r w:rsidR="00C94DCD" w:rsidRPr="003B4ED0">
        <w:rPr>
          <w:rFonts w:cs="Times New Roman"/>
          <w:szCs w:val="28"/>
        </w:rPr>
        <w:t xml:space="preserve">and thanks </w:t>
      </w:r>
      <w:r w:rsidR="008B2B15" w:rsidRPr="003B4ED0">
        <w:rPr>
          <w:rFonts w:cs="Times New Roman"/>
          <w:szCs w:val="28"/>
        </w:rPr>
        <w:t>for the comprehensive National report presented</w:t>
      </w:r>
      <w:r w:rsidR="00F01527" w:rsidRPr="003B4ED0">
        <w:rPr>
          <w:rFonts w:cs="Times New Roman"/>
          <w:szCs w:val="28"/>
        </w:rPr>
        <w:t xml:space="preserve"> to us</w:t>
      </w:r>
      <w:r w:rsidR="008B2B15" w:rsidRPr="003B4ED0">
        <w:rPr>
          <w:rFonts w:cs="Times New Roman"/>
          <w:szCs w:val="28"/>
        </w:rPr>
        <w:t xml:space="preserve">. </w:t>
      </w:r>
    </w:p>
    <w:p w14:paraId="50978B24" w14:textId="77777777" w:rsidR="002211D8" w:rsidRPr="003B4ED0" w:rsidRDefault="002211D8" w:rsidP="00644932">
      <w:pPr>
        <w:jc w:val="both"/>
        <w:rPr>
          <w:rFonts w:cs="Times New Roman"/>
          <w:szCs w:val="28"/>
        </w:rPr>
      </w:pPr>
    </w:p>
    <w:p w14:paraId="3E8A04F3" w14:textId="2444942F" w:rsidR="00410166" w:rsidRPr="003B4ED0" w:rsidRDefault="002211D8" w:rsidP="00410166">
      <w:pPr>
        <w:jc w:val="both"/>
        <w:rPr>
          <w:rFonts w:cs="Times New Roman"/>
          <w:szCs w:val="28"/>
        </w:rPr>
      </w:pPr>
      <w:r w:rsidRPr="003B4ED0">
        <w:rPr>
          <w:rFonts w:cs="Times New Roman"/>
          <w:szCs w:val="28"/>
        </w:rPr>
        <w:t xml:space="preserve">Azerbaijan </w:t>
      </w:r>
      <w:r w:rsidR="000B6519" w:rsidRPr="003B4ED0">
        <w:rPr>
          <w:rFonts w:cs="Times New Roman"/>
          <w:szCs w:val="28"/>
        </w:rPr>
        <w:t>recognizes</w:t>
      </w:r>
      <w:r w:rsidRPr="003B4ED0">
        <w:rPr>
          <w:rFonts w:cs="Times New Roman"/>
          <w:szCs w:val="28"/>
        </w:rPr>
        <w:t xml:space="preserve"> Peru’s </w:t>
      </w:r>
      <w:r w:rsidR="000B6519" w:rsidRPr="003B4ED0">
        <w:rPr>
          <w:rFonts w:cs="Times New Roman"/>
          <w:szCs w:val="28"/>
        </w:rPr>
        <w:t xml:space="preserve">strong </w:t>
      </w:r>
      <w:r w:rsidRPr="003B4ED0">
        <w:rPr>
          <w:rFonts w:cs="Times New Roman"/>
          <w:szCs w:val="28"/>
        </w:rPr>
        <w:t>commitment to the Universal Periodic Review Process</w:t>
      </w:r>
      <w:r w:rsidR="00E53C40">
        <w:rPr>
          <w:rFonts w:cs="Times New Roman"/>
          <w:szCs w:val="28"/>
        </w:rPr>
        <w:t xml:space="preserve"> and</w:t>
      </w:r>
      <w:bookmarkStart w:id="0" w:name="_GoBack"/>
      <w:bookmarkEnd w:id="0"/>
      <w:r w:rsidR="000B6519" w:rsidRPr="003B4ED0">
        <w:rPr>
          <w:rFonts w:cs="Times New Roman"/>
          <w:szCs w:val="28"/>
        </w:rPr>
        <w:t xml:space="preserve"> commends measures the Government has undertaken </w:t>
      </w:r>
      <w:r w:rsidR="00102B3A">
        <w:rPr>
          <w:rFonts w:cs="Times New Roman"/>
          <w:szCs w:val="28"/>
        </w:rPr>
        <w:t>to address the</w:t>
      </w:r>
      <w:r w:rsidR="000B6519" w:rsidRPr="003B4ED0">
        <w:rPr>
          <w:rFonts w:cs="Times New Roman"/>
          <w:szCs w:val="28"/>
        </w:rPr>
        <w:t xml:space="preserve"> recommendations it has received during the last UPR cycl</w:t>
      </w:r>
      <w:r w:rsidR="00E53C40">
        <w:rPr>
          <w:rFonts w:cs="Times New Roman"/>
          <w:szCs w:val="28"/>
        </w:rPr>
        <w:t>e.</w:t>
      </w:r>
      <w:r w:rsidR="000B6519" w:rsidRPr="003B4ED0">
        <w:rPr>
          <w:rFonts w:cs="Times New Roman"/>
          <w:szCs w:val="28"/>
        </w:rPr>
        <w:t xml:space="preserve"> </w:t>
      </w:r>
      <w:r w:rsidR="00410166" w:rsidRPr="003B4ED0">
        <w:rPr>
          <w:rFonts w:cs="Times New Roman"/>
          <w:szCs w:val="28"/>
        </w:rPr>
        <w:t>In this context, r</w:t>
      </w:r>
      <w:r w:rsidR="000B6519" w:rsidRPr="003B4ED0">
        <w:rPr>
          <w:rFonts w:cs="Times New Roman"/>
          <w:szCs w:val="28"/>
        </w:rPr>
        <w:t>atification of</w:t>
      </w:r>
      <w:r w:rsidRPr="003B4ED0">
        <w:rPr>
          <w:rFonts w:cs="Times New Roman"/>
          <w:szCs w:val="28"/>
        </w:rPr>
        <w:t xml:space="preserve"> </w:t>
      </w:r>
      <w:r w:rsidR="000B6519" w:rsidRPr="003B4ED0">
        <w:rPr>
          <w:rFonts w:cs="Times New Roman"/>
          <w:szCs w:val="28"/>
        </w:rPr>
        <w:t>various international instruments, including the International Convention for the Protection of All Persons from Enforced Disappearance</w:t>
      </w:r>
      <w:r w:rsidR="00410166" w:rsidRPr="003B4ED0">
        <w:rPr>
          <w:rFonts w:cs="Times New Roman"/>
          <w:szCs w:val="28"/>
        </w:rPr>
        <w:t xml:space="preserve"> and Optional Protocol to the Convention on the Rights of the Child and adoption of number</w:t>
      </w:r>
      <w:r w:rsidR="00966B6A">
        <w:rPr>
          <w:rFonts w:cs="Times New Roman"/>
          <w:szCs w:val="28"/>
        </w:rPr>
        <w:t xml:space="preserve"> of legislative reforms</w:t>
      </w:r>
      <w:r w:rsidR="00410166" w:rsidRPr="003B4ED0">
        <w:rPr>
          <w:rFonts w:cs="Times New Roman"/>
          <w:szCs w:val="28"/>
        </w:rPr>
        <w:t xml:space="preserve"> should be underlined. </w:t>
      </w:r>
    </w:p>
    <w:p w14:paraId="48A705BC" w14:textId="77777777" w:rsidR="00410166" w:rsidRPr="003B4ED0" w:rsidRDefault="000B6519" w:rsidP="002211D8">
      <w:pPr>
        <w:jc w:val="both"/>
        <w:rPr>
          <w:rFonts w:cs="Times New Roman"/>
          <w:szCs w:val="28"/>
        </w:rPr>
      </w:pPr>
      <w:r w:rsidRPr="003B4ED0">
        <w:rPr>
          <w:rFonts w:cs="Times New Roman"/>
          <w:szCs w:val="28"/>
        </w:rPr>
        <w:t xml:space="preserve"> </w:t>
      </w:r>
    </w:p>
    <w:p w14:paraId="266617BB" w14:textId="6A0DEF91" w:rsidR="00410166" w:rsidRPr="003B4ED0" w:rsidRDefault="00410166" w:rsidP="002211D8">
      <w:pPr>
        <w:jc w:val="both"/>
        <w:rPr>
          <w:rFonts w:cs="Times New Roman"/>
          <w:szCs w:val="28"/>
        </w:rPr>
      </w:pPr>
      <w:r w:rsidRPr="003B4ED0">
        <w:rPr>
          <w:rFonts w:cs="Times New Roman"/>
          <w:szCs w:val="28"/>
        </w:rPr>
        <w:t xml:space="preserve">We </w:t>
      </w:r>
      <w:r w:rsidR="002C7225">
        <w:rPr>
          <w:rFonts w:cs="Times New Roman"/>
          <w:szCs w:val="28"/>
        </w:rPr>
        <w:t>commend Peru for its</w:t>
      </w:r>
      <w:r w:rsidRPr="003B4ED0">
        <w:rPr>
          <w:rFonts w:cs="Times New Roman"/>
          <w:szCs w:val="28"/>
        </w:rPr>
        <w:t xml:space="preserve"> endeavors to </w:t>
      </w:r>
      <w:r w:rsidRPr="003B4ED0">
        <w:rPr>
          <w:rFonts w:cs="Times New Roman"/>
          <w:color w:val="262626"/>
          <w:szCs w:val="28"/>
        </w:rPr>
        <w:t xml:space="preserve">implement the recommendations of the National Truth and Reconciliation Commission to ensure right to an effective remedy and </w:t>
      </w:r>
      <w:r w:rsidR="00874000" w:rsidRPr="003B4ED0">
        <w:rPr>
          <w:rFonts w:cs="Times New Roman"/>
          <w:b/>
          <w:color w:val="262626"/>
          <w:szCs w:val="28"/>
        </w:rPr>
        <w:t>recommend</w:t>
      </w:r>
      <w:r w:rsidR="00874000" w:rsidRPr="003B4ED0">
        <w:rPr>
          <w:rFonts w:cs="Times New Roman"/>
          <w:color w:val="262626"/>
          <w:szCs w:val="28"/>
        </w:rPr>
        <w:t xml:space="preserve"> the country to continue its reparation programs.</w:t>
      </w:r>
    </w:p>
    <w:p w14:paraId="3E7550B0" w14:textId="77777777" w:rsidR="002211D8" w:rsidRPr="003B4ED0" w:rsidRDefault="002211D8" w:rsidP="002211D8">
      <w:pPr>
        <w:jc w:val="both"/>
        <w:rPr>
          <w:rFonts w:cs="Times New Roman"/>
          <w:szCs w:val="28"/>
        </w:rPr>
      </w:pPr>
    </w:p>
    <w:p w14:paraId="5C506154" w14:textId="18837E83" w:rsidR="00B52EB7" w:rsidRPr="003B4ED0" w:rsidRDefault="008C48D9" w:rsidP="008B2B15">
      <w:pPr>
        <w:jc w:val="both"/>
        <w:rPr>
          <w:rFonts w:cs="Times New Roman"/>
          <w:szCs w:val="28"/>
        </w:rPr>
      </w:pPr>
      <w:r w:rsidRPr="003B4ED0">
        <w:rPr>
          <w:rFonts w:cs="Times New Roman"/>
          <w:szCs w:val="28"/>
        </w:rPr>
        <w:t xml:space="preserve">Azerbaijan also praises Peru’s efforts to develop its institutional framework for the promotion and protection of human rights and </w:t>
      </w:r>
      <w:r w:rsidR="003B4ED0" w:rsidRPr="003B4ED0">
        <w:rPr>
          <w:rFonts w:cs="Times New Roman"/>
          <w:b/>
          <w:szCs w:val="28"/>
        </w:rPr>
        <w:t>recommends</w:t>
      </w:r>
      <w:r w:rsidR="003B4ED0" w:rsidRPr="003B4ED0">
        <w:rPr>
          <w:rFonts w:cs="Times New Roman"/>
          <w:szCs w:val="28"/>
        </w:rPr>
        <w:t xml:space="preserve"> Peru to </w:t>
      </w:r>
      <w:r w:rsidR="00102B3A">
        <w:rPr>
          <w:rFonts w:cs="Times New Roman"/>
          <w:szCs w:val="28"/>
        </w:rPr>
        <w:t xml:space="preserve">further increase </w:t>
      </w:r>
      <w:r w:rsidR="003B4ED0" w:rsidRPr="003B4ED0">
        <w:rPr>
          <w:rFonts w:cs="Times New Roman"/>
          <w:szCs w:val="28"/>
        </w:rPr>
        <w:t xml:space="preserve">its </w:t>
      </w:r>
      <w:r w:rsidR="003B4ED0" w:rsidRPr="003B4ED0">
        <w:rPr>
          <w:rFonts w:cs="Times New Roman"/>
          <w:color w:val="262626"/>
          <w:szCs w:val="28"/>
        </w:rPr>
        <w:t>e</w:t>
      </w:r>
      <w:r w:rsidR="00B52EB7" w:rsidRPr="003B4ED0">
        <w:rPr>
          <w:rFonts w:cs="Times New Roman"/>
          <w:color w:val="262626"/>
          <w:szCs w:val="28"/>
        </w:rPr>
        <w:t>fforts towards the finalization of the new National Human Rights Plan 2017-2021.</w:t>
      </w:r>
    </w:p>
    <w:p w14:paraId="5FE4546C" w14:textId="77777777" w:rsidR="003B4ED0" w:rsidRPr="003B4ED0" w:rsidRDefault="003B4ED0" w:rsidP="00AB3553">
      <w:pPr>
        <w:jc w:val="both"/>
        <w:rPr>
          <w:rFonts w:cs="Times New Roman"/>
          <w:szCs w:val="28"/>
        </w:rPr>
      </w:pPr>
    </w:p>
    <w:p w14:paraId="1B5996DF" w14:textId="4E864931" w:rsidR="00B2364A" w:rsidRPr="003B4ED0" w:rsidRDefault="00B2364A" w:rsidP="00B2364A">
      <w:pPr>
        <w:jc w:val="both"/>
        <w:rPr>
          <w:rFonts w:cs="Times New Roman"/>
          <w:szCs w:val="28"/>
        </w:rPr>
      </w:pPr>
      <w:r w:rsidRPr="003B4ED0">
        <w:rPr>
          <w:rFonts w:cs="Times New Roman"/>
          <w:szCs w:val="28"/>
        </w:rPr>
        <w:t xml:space="preserve">In conclusion, we wish the delegation of </w:t>
      </w:r>
      <w:r w:rsidR="003B4ED0" w:rsidRPr="003B4ED0">
        <w:rPr>
          <w:rFonts w:cs="Times New Roman"/>
          <w:szCs w:val="28"/>
        </w:rPr>
        <w:t>Peru</w:t>
      </w:r>
      <w:r w:rsidR="00A714E5" w:rsidRPr="003B4ED0">
        <w:rPr>
          <w:rFonts w:cs="Times New Roman"/>
          <w:szCs w:val="28"/>
        </w:rPr>
        <w:t xml:space="preserve"> a </w:t>
      </w:r>
      <w:r w:rsidRPr="003B4ED0">
        <w:rPr>
          <w:rFonts w:cs="Times New Roman"/>
          <w:szCs w:val="28"/>
        </w:rPr>
        <w:t>successful review.</w:t>
      </w:r>
    </w:p>
    <w:p w14:paraId="0FFDCD24" w14:textId="12C34BE7" w:rsidR="00015EB2" w:rsidRPr="003B4ED0" w:rsidRDefault="00015EB2" w:rsidP="008B2B15">
      <w:pPr>
        <w:jc w:val="both"/>
        <w:rPr>
          <w:rFonts w:cs="Times New Roman"/>
          <w:szCs w:val="28"/>
        </w:rPr>
      </w:pPr>
    </w:p>
    <w:p w14:paraId="61C9C8EF" w14:textId="6B93406C" w:rsidR="008B2B15" w:rsidRPr="003B4ED0" w:rsidRDefault="008B2B15" w:rsidP="008B2B15">
      <w:pPr>
        <w:jc w:val="both"/>
        <w:rPr>
          <w:rFonts w:cs="Times New Roman"/>
          <w:szCs w:val="28"/>
        </w:rPr>
      </w:pPr>
      <w:r w:rsidRPr="003B4ED0">
        <w:rPr>
          <w:rFonts w:cs="Times New Roman"/>
          <w:szCs w:val="28"/>
        </w:rPr>
        <w:t xml:space="preserve">Thank you. </w:t>
      </w:r>
    </w:p>
    <w:p w14:paraId="5018F51F" w14:textId="77777777" w:rsidR="004D3031" w:rsidRPr="003B4ED0" w:rsidRDefault="004D3031" w:rsidP="00646456">
      <w:pPr>
        <w:jc w:val="both"/>
        <w:rPr>
          <w:rFonts w:cs="Times New Roman"/>
          <w:szCs w:val="28"/>
        </w:rPr>
      </w:pPr>
    </w:p>
    <w:sectPr w:rsidR="004D3031" w:rsidRPr="003B4ED0" w:rsidSect="00FE1103">
      <w:type w:val="continuous"/>
      <w:pgSz w:w="11906" w:h="16838" w:code="9"/>
      <w:pgMar w:top="284" w:right="1134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8817" w14:textId="77777777" w:rsidR="00A84AB5" w:rsidRDefault="00A84AB5">
      <w:r>
        <w:separator/>
      </w:r>
    </w:p>
  </w:endnote>
  <w:endnote w:type="continuationSeparator" w:id="0">
    <w:p w14:paraId="1B9E5568" w14:textId="77777777" w:rsidR="00A84AB5" w:rsidRDefault="00A8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58A14" w14:textId="77777777" w:rsidR="00A84AB5" w:rsidRDefault="00A84AB5">
      <w:r>
        <w:separator/>
      </w:r>
    </w:p>
  </w:footnote>
  <w:footnote w:type="continuationSeparator" w:id="0">
    <w:p w14:paraId="1E38EE6C" w14:textId="77777777" w:rsidR="00A84AB5" w:rsidRDefault="00A84A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A84AB5" w:rsidRDefault="00A84AB5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0670170" w14:textId="77777777" w:rsidR="00A84AB5" w:rsidRDefault="00A84A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B4FF9"/>
    <w:multiLevelType w:val="hybridMultilevel"/>
    <w:tmpl w:val="E022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B630D"/>
    <w:multiLevelType w:val="multilevel"/>
    <w:tmpl w:val="783AB75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15EB2"/>
    <w:rsid w:val="000774E9"/>
    <w:rsid w:val="00086A62"/>
    <w:rsid w:val="000A7E3B"/>
    <w:rsid w:val="000B6519"/>
    <w:rsid w:val="00102B3A"/>
    <w:rsid w:val="00123310"/>
    <w:rsid w:val="00125E08"/>
    <w:rsid w:val="0012625A"/>
    <w:rsid w:val="0015277F"/>
    <w:rsid w:val="00153CFC"/>
    <w:rsid w:val="00163F58"/>
    <w:rsid w:val="0017614A"/>
    <w:rsid w:val="001E30D1"/>
    <w:rsid w:val="002211D8"/>
    <w:rsid w:val="00254EE1"/>
    <w:rsid w:val="002843D3"/>
    <w:rsid w:val="00293126"/>
    <w:rsid w:val="002972A2"/>
    <w:rsid w:val="002C7225"/>
    <w:rsid w:val="003B4ED0"/>
    <w:rsid w:val="003B7562"/>
    <w:rsid w:val="003E2C04"/>
    <w:rsid w:val="0040205A"/>
    <w:rsid w:val="00410166"/>
    <w:rsid w:val="00451FAF"/>
    <w:rsid w:val="004902C7"/>
    <w:rsid w:val="004A267E"/>
    <w:rsid w:val="004C1EE3"/>
    <w:rsid w:val="004D3031"/>
    <w:rsid w:val="004E65EB"/>
    <w:rsid w:val="00542E6C"/>
    <w:rsid w:val="00596287"/>
    <w:rsid w:val="005D0A4C"/>
    <w:rsid w:val="005E4D49"/>
    <w:rsid w:val="006268F3"/>
    <w:rsid w:val="00634F46"/>
    <w:rsid w:val="00640958"/>
    <w:rsid w:val="00644932"/>
    <w:rsid w:val="00646456"/>
    <w:rsid w:val="006674DD"/>
    <w:rsid w:val="006763F9"/>
    <w:rsid w:val="006A23AE"/>
    <w:rsid w:val="006D3C72"/>
    <w:rsid w:val="00726DA4"/>
    <w:rsid w:val="0075419D"/>
    <w:rsid w:val="007577AD"/>
    <w:rsid w:val="00780ED8"/>
    <w:rsid w:val="007A02C1"/>
    <w:rsid w:val="007A2B8C"/>
    <w:rsid w:val="007B1C31"/>
    <w:rsid w:val="007B2175"/>
    <w:rsid w:val="00831908"/>
    <w:rsid w:val="00840510"/>
    <w:rsid w:val="00843265"/>
    <w:rsid w:val="0086701B"/>
    <w:rsid w:val="00874000"/>
    <w:rsid w:val="00880C37"/>
    <w:rsid w:val="008909E6"/>
    <w:rsid w:val="008A596F"/>
    <w:rsid w:val="008B2B15"/>
    <w:rsid w:val="008C48D9"/>
    <w:rsid w:val="008C7CCF"/>
    <w:rsid w:val="008D6B7F"/>
    <w:rsid w:val="008E4680"/>
    <w:rsid w:val="00966B6A"/>
    <w:rsid w:val="00980478"/>
    <w:rsid w:val="009B6133"/>
    <w:rsid w:val="00A27886"/>
    <w:rsid w:val="00A4203A"/>
    <w:rsid w:val="00A666B9"/>
    <w:rsid w:val="00A714E5"/>
    <w:rsid w:val="00A84AB5"/>
    <w:rsid w:val="00A902C6"/>
    <w:rsid w:val="00A91055"/>
    <w:rsid w:val="00A91C09"/>
    <w:rsid w:val="00AB3553"/>
    <w:rsid w:val="00AC5F83"/>
    <w:rsid w:val="00B04871"/>
    <w:rsid w:val="00B2364A"/>
    <w:rsid w:val="00B52CCC"/>
    <w:rsid w:val="00B52EB7"/>
    <w:rsid w:val="00B85EC0"/>
    <w:rsid w:val="00B972C3"/>
    <w:rsid w:val="00BA3A62"/>
    <w:rsid w:val="00BA520B"/>
    <w:rsid w:val="00BE78E8"/>
    <w:rsid w:val="00C169A7"/>
    <w:rsid w:val="00C26257"/>
    <w:rsid w:val="00C94DCD"/>
    <w:rsid w:val="00D029F9"/>
    <w:rsid w:val="00D50832"/>
    <w:rsid w:val="00D70D58"/>
    <w:rsid w:val="00D71FB6"/>
    <w:rsid w:val="00D86D01"/>
    <w:rsid w:val="00DC6187"/>
    <w:rsid w:val="00DF1F15"/>
    <w:rsid w:val="00E53C40"/>
    <w:rsid w:val="00E55E8A"/>
    <w:rsid w:val="00E74C92"/>
    <w:rsid w:val="00E97CA4"/>
    <w:rsid w:val="00F01527"/>
    <w:rsid w:val="00F515A5"/>
    <w:rsid w:val="00F820D0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6BFC8E-8A04-422C-B49C-B6F605B4E251}"/>
</file>

<file path=customXml/itemProps2.xml><?xml version="1.0" encoding="utf-8"?>
<ds:datastoreItem xmlns:ds="http://schemas.openxmlformats.org/officeDocument/2006/customXml" ds:itemID="{2F4A7D56-52A6-4628-9323-3A65F4CE9829}"/>
</file>

<file path=customXml/itemProps3.xml><?xml version="1.0" encoding="utf-8"?>
<ds:datastoreItem xmlns:ds="http://schemas.openxmlformats.org/officeDocument/2006/customXml" ds:itemID="{AAB4CF97-9794-4E70-8A2C-0E8497375963}"/>
</file>

<file path=docProps/app.xml><?xml version="1.0" encoding="utf-8"?>
<Properties xmlns="http://schemas.openxmlformats.org/officeDocument/2006/extended-properties" xmlns:vt="http://schemas.openxmlformats.org/officeDocument/2006/docPropsVTypes">
  <Template>\Users\Samira\Desktop\NDNC Blanklar\NDNC - Letterhead (corrected).dotx</Template>
  <TotalTime>78</TotalTime>
  <Pages>1</Pages>
  <Words>325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user</cp:lastModifiedBy>
  <cp:revision>17</cp:revision>
  <cp:lastPrinted>2017-05-03T11:23:00Z</cp:lastPrinted>
  <dcterms:created xsi:type="dcterms:W3CDTF">2017-11-07T16:23:00Z</dcterms:created>
  <dcterms:modified xsi:type="dcterms:W3CDTF">2017-11-08T09:54:00Z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