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7668E2E6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F97305">
        <w:rPr>
          <w:rFonts w:cs="Times New Roman"/>
          <w:b/>
        </w:rPr>
        <w:t>the Republi</w:t>
      </w:r>
      <w:r w:rsidR="006E17AC">
        <w:rPr>
          <w:rFonts w:cs="Times New Roman"/>
          <w:b/>
        </w:rPr>
        <w:t>c of Argentina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r w:rsidRPr="00B972C3">
        <w:rPr>
          <w:b/>
          <w:szCs w:val="28"/>
          <w:lang w:val="en-GB"/>
        </w:rPr>
        <w:t>delivered by Emin Aslanov,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77777777" w:rsidR="00646456" w:rsidRPr="00C0528D" w:rsidRDefault="00153CFC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6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02A9DBC2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warmly welcomes the delegation of </w:t>
      </w:r>
      <w:r w:rsidR="007A02C1">
        <w:rPr>
          <w:rFonts w:cs="Times New Roman"/>
        </w:rPr>
        <w:t xml:space="preserve">the </w:t>
      </w:r>
      <w:r>
        <w:rPr>
          <w:rFonts w:cs="Times New Roman"/>
        </w:rPr>
        <w:t xml:space="preserve">Republic </w:t>
      </w:r>
      <w:r w:rsidR="0009465E">
        <w:rPr>
          <w:rFonts w:cs="Times New Roman"/>
        </w:rPr>
        <w:t>of Argentina</w:t>
      </w:r>
      <w:r w:rsidR="00A50580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="00A50580">
        <w:rPr>
          <w:rFonts w:cs="Times New Roman"/>
        </w:rPr>
        <w:t xml:space="preserve">thanks for presentation of the </w:t>
      </w:r>
      <w:r w:rsidR="00710200">
        <w:rPr>
          <w:rFonts w:cs="Times New Roman"/>
        </w:rPr>
        <w:t xml:space="preserve">comprehensive </w:t>
      </w:r>
      <w:bookmarkStart w:id="0" w:name="_GoBack"/>
      <w:bookmarkEnd w:id="0"/>
      <w:r w:rsidR="00A50580">
        <w:rPr>
          <w:rFonts w:cs="Times New Roman"/>
        </w:rPr>
        <w:t xml:space="preserve">National Report. </w:t>
      </w:r>
    </w:p>
    <w:p w14:paraId="4268BB3C" w14:textId="77777777" w:rsidR="00A50580" w:rsidRDefault="00A50580" w:rsidP="00C169A7">
      <w:pPr>
        <w:jc w:val="both"/>
        <w:rPr>
          <w:rFonts w:cs="Times New Roman"/>
        </w:rPr>
      </w:pPr>
    </w:p>
    <w:p w14:paraId="6A9EE0DC" w14:textId="7EF6D2B8" w:rsidR="006E17AC" w:rsidRDefault="006E17AC" w:rsidP="006E17AC">
      <w:pPr>
        <w:jc w:val="both"/>
      </w:pPr>
      <w:r>
        <w:rPr>
          <w:rFonts w:cs="Times New Roman"/>
        </w:rPr>
        <w:t xml:space="preserve">Azerbaijan congratulates Argentina for its </w:t>
      </w:r>
      <w:r w:rsidR="00060D4A">
        <w:rPr>
          <w:rFonts w:cs="Times New Roman"/>
        </w:rPr>
        <w:t xml:space="preserve">continuous </w:t>
      </w:r>
      <w:r>
        <w:rPr>
          <w:rFonts w:cs="Times New Roman"/>
        </w:rPr>
        <w:t xml:space="preserve">efforts on fight against corruption, </w:t>
      </w:r>
      <w:r w:rsidR="00BE6E64">
        <w:rPr>
          <w:rFonts w:cs="Times New Roman"/>
        </w:rPr>
        <w:t xml:space="preserve">and takes positive note of measures undertaken by the </w:t>
      </w:r>
      <w:r>
        <w:rPr>
          <w:rFonts w:cs="Times New Roman"/>
        </w:rPr>
        <w:t xml:space="preserve">Government </w:t>
      </w:r>
      <w:r w:rsidR="00BE6E64">
        <w:rPr>
          <w:rFonts w:cs="Times New Roman"/>
        </w:rPr>
        <w:t xml:space="preserve">to promote transparency and access to information. </w:t>
      </w:r>
      <w:r w:rsidR="00060D4A">
        <w:rPr>
          <w:rFonts w:cs="Times New Roman"/>
        </w:rPr>
        <w:t>In this regard</w:t>
      </w:r>
      <w:r w:rsidR="00BE6E64">
        <w:rPr>
          <w:rFonts w:cs="Times New Roman"/>
        </w:rPr>
        <w:t xml:space="preserve">, we would like to highlight the relevant legal Act </w:t>
      </w:r>
      <w:r w:rsidR="001B4E88">
        <w:rPr>
          <w:rFonts w:cs="Times New Roman"/>
        </w:rPr>
        <w:t xml:space="preserve">adopted this year, </w:t>
      </w:r>
      <w:r w:rsidR="00BE6E64">
        <w:rPr>
          <w:rFonts w:cs="Times New Roman"/>
        </w:rPr>
        <w:t xml:space="preserve">regulating access to information in the country. </w:t>
      </w:r>
    </w:p>
    <w:p w14:paraId="3B4792D7" w14:textId="77777777" w:rsidR="00BE6E64" w:rsidRDefault="00BE6E64" w:rsidP="006E17AC">
      <w:pPr>
        <w:jc w:val="both"/>
      </w:pPr>
    </w:p>
    <w:p w14:paraId="18444D69" w14:textId="4C1D87FD" w:rsidR="00E1341E" w:rsidRDefault="00E1341E" w:rsidP="006E17AC">
      <w:pPr>
        <w:jc w:val="both"/>
      </w:pPr>
      <w:r>
        <w:rPr>
          <w:rFonts w:cs="Times New Roman"/>
        </w:rPr>
        <w:t xml:space="preserve">We also welcome adoption of the </w:t>
      </w:r>
      <w:r>
        <w:t xml:space="preserve">“2020 Justice Programme” aimed at improving and strengthening the judicial system and building robust </w:t>
      </w:r>
      <w:r w:rsidR="00060D4A">
        <w:t xml:space="preserve">and efficient </w:t>
      </w:r>
      <w:r>
        <w:t>public service.</w:t>
      </w:r>
    </w:p>
    <w:p w14:paraId="61A60C8C" w14:textId="77777777" w:rsidR="00E1341E" w:rsidRDefault="00E1341E" w:rsidP="006E17AC">
      <w:pPr>
        <w:jc w:val="both"/>
      </w:pPr>
    </w:p>
    <w:p w14:paraId="034DF140" w14:textId="5EA68179" w:rsidR="00E1341E" w:rsidRDefault="00E1341E" w:rsidP="009F09FB">
      <w:pPr>
        <w:jc w:val="both"/>
      </w:pPr>
      <w:r>
        <w:rPr>
          <w:rFonts w:cs="Times New Roman"/>
        </w:rPr>
        <w:t>Azerbaijan would like t</w:t>
      </w:r>
      <w:r w:rsidR="009F09FB">
        <w:rPr>
          <w:rFonts w:cs="Times New Roman"/>
        </w:rPr>
        <w:t xml:space="preserve">o </w:t>
      </w:r>
      <w:r w:rsidR="009F09FB" w:rsidRPr="009F09FB">
        <w:rPr>
          <w:rFonts w:cs="Times New Roman"/>
          <w:b/>
        </w:rPr>
        <w:t>recommend</w:t>
      </w:r>
      <w:r w:rsidR="009F09FB">
        <w:rPr>
          <w:rFonts w:cs="Times New Roman"/>
        </w:rPr>
        <w:t xml:space="preserve"> Argentina</w:t>
      </w:r>
      <w:r w:rsidR="009F09FB">
        <w:t xml:space="preserve"> t</w:t>
      </w:r>
      <w:r>
        <w:t>o continue its positive practice of incorporating intercultural education into the education system as part of the recognition of et</w:t>
      </w:r>
      <w:r w:rsidR="009F09FB">
        <w:t xml:space="preserve">hnic diversity. </w:t>
      </w:r>
    </w:p>
    <w:p w14:paraId="0812BFB9" w14:textId="77777777" w:rsidR="008E173F" w:rsidRDefault="008E173F" w:rsidP="009F09FB">
      <w:pPr>
        <w:jc w:val="both"/>
      </w:pPr>
    </w:p>
    <w:p w14:paraId="2A483F57" w14:textId="253756C3" w:rsidR="008E173F" w:rsidRDefault="008E173F" w:rsidP="008E173F">
      <w:pPr>
        <w:jc w:val="both"/>
        <w:rPr>
          <w:szCs w:val="28"/>
        </w:rPr>
      </w:pPr>
      <w:r>
        <w:rPr>
          <w:szCs w:val="28"/>
        </w:rPr>
        <w:t xml:space="preserve">In conclusion, we wish the delegation of </w:t>
      </w:r>
      <w:r>
        <w:rPr>
          <w:szCs w:val="28"/>
        </w:rPr>
        <w:t>Argentina</w:t>
      </w:r>
      <w:r>
        <w:rPr>
          <w:szCs w:val="28"/>
        </w:rPr>
        <w:t xml:space="preserve"> a very successful review</w:t>
      </w:r>
      <w:r>
        <w:rPr>
          <w:szCs w:val="28"/>
        </w:rPr>
        <w:t xml:space="preserve"> process</w:t>
      </w:r>
      <w:r>
        <w:rPr>
          <w:szCs w:val="28"/>
        </w:rPr>
        <w:t>.</w:t>
      </w:r>
    </w:p>
    <w:p w14:paraId="5251E197" w14:textId="77777777" w:rsidR="008E173F" w:rsidRPr="009F09FB" w:rsidRDefault="008E173F" w:rsidP="009F09FB">
      <w:pPr>
        <w:jc w:val="both"/>
        <w:rPr>
          <w:rFonts w:cs="Times New Roman"/>
        </w:rPr>
      </w:pPr>
    </w:p>
    <w:p w14:paraId="1753884E" w14:textId="77777777" w:rsidR="00E1341E" w:rsidRDefault="00E1341E" w:rsidP="006E17AC">
      <w:pPr>
        <w:jc w:val="both"/>
      </w:pPr>
    </w:p>
    <w:p w14:paraId="40EBF49D" w14:textId="77777777" w:rsidR="00E1341E" w:rsidRDefault="00E1341E" w:rsidP="006E17AC">
      <w:pPr>
        <w:jc w:val="both"/>
      </w:pPr>
    </w:p>
    <w:p w14:paraId="2B3C6B18" w14:textId="77777777" w:rsidR="00EA3489" w:rsidRDefault="00EA3489" w:rsidP="00646456">
      <w:pPr>
        <w:jc w:val="both"/>
        <w:rPr>
          <w:szCs w:val="28"/>
          <w:lang w:val="en-GB"/>
        </w:rPr>
      </w:pPr>
    </w:p>
    <w:sectPr w:rsidR="00EA3489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E1341E" w:rsidRDefault="00E1341E">
      <w:r>
        <w:separator/>
      </w:r>
    </w:p>
  </w:endnote>
  <w:endnote w:type="continuationSeparator" w:id="0">
    <w:p w14:paraId="1B9E5568" w14:textId="77777777" w:rsidR="00E1341E" w:rsidRDefault="00E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E1341E" w:rsidRDefault="00E1341E">
      <w:r>
        <w:separator/>
      </w:r>
    </w:p>
  </w:footnote>
  <w:footnote w:type="continuationSeparator" w:id="0">
    <w:p w14:paraId="1E38EE6C" w14:textId="77777777" w:rsidR="00E1341E" w:rsidRDefault="00E13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E1341E" w:rsidRDefault="00E1341E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9FB">
      <w:rPr>
        <w:noProof/>
      </w:rPr>
      <w:t>2</w:t>
    </w:r>
    <w:r>
      <w:fldChar w:fldCharType="end"/>
    </w:r>
  </w:p>
  <w:p w14:paraId="40670170" w14:textId="77777777" w:rsidR="00E1341E" w:rsidRDefault="00E134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82E41"/>
    <w:multiLevelType w:val="hybridMultilevel"/>
    <w:tmpl w:val="9930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501BB"/>
    <w:rsid w:val="00060D4A"/>
    <w:rsid w:val="00086A62"/>
    <w:rsid w:val="0009465E"/>
    <w:rsid w:val="000A7E3B"/>
    <w:rsid w:val="00123310"/>
    <w:rsid w:val="00125E08"/>
    <w:rsid w:val="0015277F"/>
    <w:rsid w:val="00153CFC"/>
    <w:rsid w:val="00163F58"/>
    <w:rsid w:val="0017614A"/>
    <w:rsid w:val="001B4E88"/>
    <w:rsid w:val="001E30D1"/>
    <w:rsid w:val="002843D3"/>
    <w:rsid w:val="00293126"/>
    <w:rsid w:val="002972A2"/>
    <w:rsid w:val="003B7562"/>
    <w:rsid w:val="003C4A18"/>
    <w:rsid w:val="003E2C04"/>
    <w:rsid w:val="0040205A"/>
    <w:rsid w:val="00411758"/>
    <w:rsid w:val="004902C7"/>
    <w:rsid w:val="004C1EE3"/>
    <w:rsid w:val="004D3031"/>
    <w:rsid w:val="00596287"/>
    <w:rsid w:val="005E4D49"/>
    <w:rsid w:val="00634F46"/>
    <w:rsid w:val="00646456"/>
    <w:rsid w:val="006674DD"/>
    <w:rsid w:val="006763F9"/>
    <w:rsid w:val="006A23AE"/>
    <w:rsid w:val="006D3C72"/>
    <w:rsid w:val="006E17AC"/>
    <w:rsid w:val="00710200"/>
    <w:rsid w:val="0075419D"/>
    <w:rsid w:val="007577AD"/>
    <w:rsid w:val="00780ED8"/>
    <w:rsid w:val="007A02C1"/>
    <w:rsid w:val="007A2B8C"/>
    <w:rsid w:val="007B2175"/>
    <w:rsid w:val="00840510"/>
    <w:rsid w:val="00843265"/>
    <w:rsid w:val="0086701B"/>
    <w:rsid w:val="00880C37"/>
    <w:rsid w:val="008909E6"/>
    <w:rsid w:val="008A596F"/>
    <w:rsid w:val="008D6B7F"/>
    <w:rsid w:val="008E173F"/>
    <w:rsid w:val="008E4680"/>
    <w:rsid w:val="00980478"/>
    <w:rsid w:val="009F09FB"/>
    <w:rsid w:val="00A27886"/>
    <w:rsid w:val="00A50580"/>
    <w:rsid w:val="00A902C6"/>
    <w:rsid w:val="00A91055"/>
    <w:rsid w:val="00A91C09"/>
    <w:rsid w:val="00AC5F83"/>
    <w:rsid w:val="00B04871"/>
    <w:rsid w:val="00B52CCC"/>
    <w:rsid w:val="00B85EC0"/>
    <w:rsid w:val="00B901F1"/>
    <w:rsid w:val="00B972C3"/>
    <w:rsid w:val="00BA520B"/>
    <w:rsid w:val="00BE6E64"/>
    <w:rsid w:val="00BE78E8"/>
    <w:rsid w:val="00C169A7"/>
    <w:rsid w:val="00C26257"/>
    <w:rsid w:val="00C53702"/>
    <w:rsid w:val="00D029F9"/>
    <w:rsid w:val="00D50832"/>
    <w:rsid w:val="00D70D58"/>
    <w:rsid w:val="00DF1F15"/>
    <w:rsid w:val="00E1341E"/>
    <w:rsid w:val="00E74C92"/>
    <w:rsid w:val="00E97CA4"/>
    <w:rsid w:val="00EA3489"/>
    <w:rsid w:val="00F820D0"/>
    <w:rsid w:val="00F9730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3F2FD-2D20-4495-A18D-CF90725D4D15}"/>
</file>

<file path=customXml/itemProps2.xml><?xml version="1.0" encoding="utf-8"?>
<ds:datastoreItem xmlns:ds="http://schemas.openxmlformats.org/officeDocument/2006/customXml" ds:itemID="{B0DFFF3C-ABB0-46CF-91B3-D372E9E842A9}"/>
</file>

<file path=customXml/itemProps3.xml><?xml version="1.0" encoding="utf-8"?>
<ds:datastoreItem xmlns:ds="http://schemas.openxmlformats.org/officeDocument/2006/customXml" ds:itemID="{8A67089F-F308-4B81-A0D6-9A7717E1FD5A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43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12</cp:revision>
  <cp:lastPrinted>2017-05-03T11:23:00Z</cp:lastPrinted>
  <dcterms:created xsi:type="dcterms:W3CDTF">2017-11-06T09:33:00Z</dcterms:created>
  <dcterms:modified xsi:type="dcterms:W3CDTF">2017-11-06T14:21:00Z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