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p>
    <w:p>
      <w:pPr>
        <w:pStyle w:val="Body"/>
        <w:jc w:val="center"/>
        <w:rPr>
          <w:b w:val="1"/>
          <w:bCs w:val="1"/>
          <w:sz w:val="28"/>
          <w:szCs w:val="28"/>
          <w:u w:val="single"/>
        </w:rPr>
      </w:pPr>
      <w:r>
        <w:rPr>
          <w:b w:val="1"/>
          <w:bCs w:val="1"/>
          <w:sz w:val="28"/>
          <w:szCs w:val="28"/>
          <w:u w:val="single"/>
          <w:rtl w:val="0"/>
          <w:lang w:val="en-US"/>
        </w:rPr>
        <w:t>Statement by Bulgaria</w:t>
      </w:r>
    </w:p>
    <w:p>
      <w:pPr>
        <w:pStyle w:val="Body"/>
        <w:jc w:val="center"/>
        <w:rPr>
          <w:b w:val="1"/>
          <w:bCs w:val="1"/>
          <w:sz w:val="28"/>
          <w:szCs w:val="28"/>
        </w:rPr>
      </w:pPr>
    </w:p>
    <w:p>
      <w:pPr>
        <w:pStyle w:val="Body"/>
        <w:jc w:val="center"/>
        <w:rPr>
          <w:outline w:val="0"/>
          <w:color w:val="2e74b5"/>
          <w:sz w:val="28"/>
          <w:szCs w:val="28"/>
          <w:u w:color="2e74b5"/>
          <w14:textFill>
            <w14:solidFill>
              <w14:srgbClr w14:val="2E74B5"/>
            </w14:solidFill>
          </w14:textFill>
        </w:rPr>
      </w:pPr>
      <w:r>
        <w:rPr>
          <w:outline w:val="0"/>
          <w:color w:val="2e74b5"/>
          <w:sz w:val="28"/>
          <w:szCs w:val="28"/>
          <w:u w:color="2e74b5"/>
          <w:rtl w:val="0"/>
          <w:lang w:val="en-US"/>
          <w14:textFill>
            <w14:solidFill>
              <w14:srgbClr w14:val="2E74B5"/>
            </w14:solidFill>
          </w14:textFill>
        </w:rPr>
        <w:t xml:space="preserve">United Nations Human Rights Council </w:t>
      </w:r>
    </w:p>
    <w:p>
      <w:pPr>
        <w:pStyle w:val="Body"/>
        <w:jc w:val="center"/>
        <w:rPr>
          <w:outline w:val="0"/>
          <w:color w:val="2e74b5"/>
          <w:sz w:val="28"/>
          <w:szCs w:val="28"/>
          <w:u w:color="2e74b5"/>
          <w14:textFill>
            <w14:solidFill>
              <w14:srgbClr w14:val="2E74B5"/>
            </w14:solidFill>
          </w14:textFill>
        </w:rPr>
      </w:pPr>
      <w:r>
        <w:rPr>
          <w:outline w:val="0"/>
          <w:color w:val="2e74b5"/>
          <w:sz w:val="28"/>
          <w:szCs w:val="28"/>
          <w:u w:color="2e74b5"/>
          <w:rtl w:val="0"/>
          <w:lang w:val="en-US"/>
          <w14:textFill>
            <w14:solidFill>
              <w14:srgbClr w14:val="2E74B5"/>
            </w14:solidFill>
          </w14:textFill>
        </w:rPr>
        <w:t>48th session of the Working Group on the Universal Periodic Review</w:t>
      </w:r>
    </w:p>
    <w:p>
      <w:pPr>
        <w:pStyle w:val="Body"/>
        <w:jc w:val="center"/>
        <w:rPr>
          <w:b w:val="1"/>
          <w:bCs w:val="1"/>
          <w:i w:val="1"/>
          <w:iCs w:val="1"/>
          <w:outline w:val="0"/>
          <w:color w:val="2e74b5"/>
          <w:sz w:val="28"/>
          <w:szCs w:val="28"/>
          <w:u w:color="2e74b5"/>
          <w14:textFill>
            <w14:solidFill>
              <w14:srgbClr w14:val="2E74B5"/>
            </w14:solidFill>
          </w14:textFill>
        </w:rPr>
      </w:pPr>
    </w:p>
    <w:p>
      <w:pPr>
        <w:pStyle w:val="Body"/>
        <w:jc w:val="center"/>
        <w:rPr>
          <w:b w:val="1"/>
          <w:bCs w:val="1"/>
          <w:i w:val="1"/>
          <w:iCs w:val="1"/>
          <w:outline w:val="0"/>
          <w:color w:val="2e74b5"/>
          <w:sz w:val="28"/>
          <w:szCs w:val="28"/>
          <w:u w:color="2e74b5"/>
          <w14:textFill>
            <w14:solidFill>
              <w14:srgbClr w14:val="2E74B5"/>
            </w14:solidFill>
          </w14:textFill>
        </w:rPr>
      </w:pPr>
      <w:r>
        <w:rPr>
          <w:b w:val="1"/>
          <w:bCs w:val="1"/>
          <w:i w:val="1"/>
          <w:iCs w:val="1"/>
          <w:outline w:val="0"/>
          <w:color w:val="2e74b5"/>
          <w:sz w:val="28"/>
          <w:szCs w:val="28"/>
          <w:u w:color="2e74b5"/>
          <w:rtl w:val="0"/>
          <w:lang w:val="en-US"/>
          <w14:textFill>
            <w14:solidFill>
              <w14:srgbClr w14:val="2E74B5"/>
            </w14:solidFill>
          </w14:textFill>
        </w:rPr>
        <w:t>Review of Slovenia</w:t>
      </w:r>
    </w:p>
    <w:p>
      <w:pPr>
        <w:pStyle w:val="Body"/>
        <w:jc w:val="center"/>
        <w:rPr>
          <w:outline w:val="0"/>
          <w:color w:val="2e74b5"/>
          <w:sz w:val="28"/>
          <w:szCs w:val="28"/>
          <w:u w:color="2e74b5"/>
          <w14:textFill>
            <w14:solidFill>
              <w14:srgbClr w14:val="2E74B5"/>
            </w14:solidFill>
          </w14:textFill>
        </w:rPr>
      </w:pPr>
      <w:r>
        <w:rPr>
          <w:b w:val="1"/>
          <w:bCs w:val="1"/>
          <w:i w:val="1"/>
          <w:iCs w:val="1"/>
          <w:outline w:val="0"/>
          <w:color w:val="2e74b5"/>
          <w:sz w:val="28"/>
          <w:szCs w:val="28"/>
          <w:u w:color="2e74b5"/>
          <w:rtl w:val="0"/>
          <w:lang w:val="en-US"/>
          <w14:textFill>
            <w14:solidFill>
              <w14:srgbClr w14:val="2E74B5"/>
            </w14:solidFill>
          </w14:textFill>
        </w:rPr>
        <w:t>28 January 2025</w:t>
      </w:r>
      <w:r>
        <w:rPr>
          <w:outline w:val="0"/>
          <w:color w:val="2e74b5"/>
          <w:sz w:val="28"/>
          <w:szCs w:val="28"/>
          <w:u w:color="2e74b5"/>
          <w:rtl w:val="0"/>
          <w14:textFill>
            <w14:solidFill>
              <w14:srgbClr w14:val="2E74B5"/>
            </w14:solidFill>
          </w14:textFill>
        </w:rPr>
        <w:t xml:space="preserve"> </w:t>
      </w:r>
    </w:p>
    <w:p>
      <w:pPr>
        <w:pStyle w:val="Body"/>
        <w:jc w:val="both"/>
        <w:rPr>
          <w:sz w:val="28"/>
          <w:szCs w:val="28"/>
        </w:rPr>
      </w:pPr>
    </w:p>
    <w:p>
      <w:pPr>
        <w:pStyle w:val="Body"/>
        <w:jc w:val="both"/>
        <w:rPr>
          <w:sz w:val="28"/>
          <w:szCs w:val="28"/>
        </w:rPr>
      </w:pPr>
    </w:p>
    <w:p>
      <w:pPr>
        <w:pStyle w:val="Body"/>
        <w:jc w:val="both"/>
        <w:rPr>
          <w:sz w:val="28"/>
          <w:szCs w:val="28"/>
        </w:rPr>
      </w:pPr>
      <w:r>
        <w:rPr>
          <w:sz w:val="28"/>
          <w:szCs w:val="28"/>
          <w:rtl w:val="0"/>
        </w:rPr>
        <w:t>Mr. President,</w:t>
      </w:r>
    </w:p>
    <w:p>
      <w:pPr>
        <w:pStyle w:val="Body"/>
        <w:jc w:val="both"/>
        <w:rPr>
          <w:sz w:val="28"/>
          <w:szCs w:val="28"/>
        </w:rPr>
      </w:pPr>
    </w:p>
    <w:p>
      <w:pPr>
        <w:pStyle w:val="Body"/>
        <w:jc w:val="both"/>
        <w:rPr>
          <w:rFonts w:ascii="Cambria" w:cs="Cambria" w:hAnsi="Cambria" w:eastAsia="Cambria"/>
          <w:sz w:val="28"/>
          <w:szCs w:val="28"/>
        </w:rPr>
      </w:pPr>
      <w:r>
        <w:rPr>
          <w:rFonts w:ascii="Cambria" w:hAnsi="Cambria"/>
          <w:sz w:val="28"/>
          <w:szCs w:val="28"/>
          <w:rtl w:val="0"/>
          <w:lang w:val="en-US"/>
        </w:rPr>
        <w:t>Bulgaria welcomes the delegation of Slovenia and thanks for the presentation of the national report.</w:t>
      </w:r>
    </w:p>
    <w:p>
      <w:pPr>
        <w:pStyle w:val="Body"/>
        <w:jc w:val="both"/>
        <w:rPr>
          <w:rFonts w:ascii="Cambria" w:cs="Cambria" w:hAnsi="Cambria" w:eastAsia="Cambria"/>
          <w:sz w:val="28"/>
          <w:szCs w:val="28"/>
        </w:rPr>
      </w:pPr>
    </w:p>
    <w:p>
      <w:pPr>
        <w:pStyle w:val="Default"/>
        <w:spacing w:before="0" w:after="240" w:line="240" w:lineRule="auto"/>
        <w:jc w:val="both"/>
        <w:rPr>
          <w:rFonts w:ascii="Cambria" w:cs="Cambria" w:hAnsi="Cambria" w:eastAsia="Cambria"/>
          <w:sz w:val="28"/>
          <w:szCs w:val="28"/>
        </w:rPr>
      </w:pPr>
      <w:r>
        <w:rPr>
          <w:rFonts w:ascii="Cambria" w:hAnsi="Cambria"/>
          <w:sz w:val="28"/>
          <w:szCs w:val="28"/>
          <w:rtl w:val="0"/>
          <w:lang w:val="en-US"/>
        </w:rPr>
        <w:t>Bulgaria acknowledges Slovenia's efforts to promote and protect children's rights, particularly through the Programme for Children 2020</w:t>
      </w:r>
      <w:r>
        <w:rPr>
          <w:rFonts w:ascii="Cambria" w:hAnsi="Cambria" w:hint="default"/>
          <w:sz w:val="28"/>
          <w:szCs w:val="28"/>
          <w:rtl w:val="0"/>
          <w:lang w:val="en-US"/>
        </w:rPr>
        <w:t>–</w:t>
      </w:r>
      <w:r>
        <w:rPr>
          <w:rFonts w:ascii="Cambria" w:hAnsi="Cambria"/>
          <w:sz w:val="28"/>
          <w:szCs w:val="28"/>
          <w:rtl w:val="0"/>
          <w:lang w:val="en-US"/>
        </w:rPr>
        <w:t>2025. We also note with appreciation the Human Rights Ombudsman</w:t>
      </w:r>
      <w:r>
        <w:rPr>
          <w:rFonts w:ascii="Arial Unicode MS" w:hAnsi="Arial Unicode MS" w:hint="default"/>
          <w:sz w:val="28"/>
          <w:szCs w:val="28"/>
          <w:rtl w:val="1"/>
          <w:lang w:val="ar-SA" w:bidi="ar-SA"/>
        </w:rPr>
        <w:t>’</w:t>
      </w:r>
      <w:r>
        <w:rPr>
          <w:rFonts w:ascii="Cambria" w:hAnsi="Cambria"/>
          <w:sz w:val="28"/>
          <w:szCs w:val="28"/>
          <w:rtl w:val="0"/>
          <w:lang w:val="en-US"/>
        </w:rPr>
        <w:t>s "A" status accreditation under the Paris Principles and Slovenia</w:t>
      </w:r>
      <w:r>
        <w:rPr>
          <w:rFonts w:ascii="Arial Unicode MS" w:hAnsi="Arial Unicode MS" w:hint="default"/>
          <w:sz w:val="28"/>
          <w:szCs w:val="28"/>
          <w:rtl w:val="1"/>
          <w:lang w:val="ar-SA" w:bidi="ar-SA"/>
        </w:rPr>
        <w:t>’</w:t>
      </w:r>
      <w:r>
        <w:rPr>
          <w:rFonts w:ascii="Cambria" w:hAnsi="Cambria"/>
          <w:sz w:val="28"/>
          <w:szCs w:val="28"/>
          <w:rtl w:val="0"/>
          <w:lang w:val="en-US"/>
        </w:rPr>
        <w:t>s active role as a core group member of the MLA initiative.</w:t>
      </w:r>
    </w:p>
    <w:p>
      <w:pPr>
        <w:pStyle w:val="Default"/>
        <w:spacing w:before="0" w:after="240" w:line="240" w:lineRule="auto"/>
        <w:jc w:val="both"/>
        <w:rPr>
          <w:rFonts w:ascii="Cambria" w:cs="Cambria" w:hAnsi="Cambria" w:eastAsia="Cambria"/>
          <w:sz w:val="28"/>
          <w:szCs w:val="28"/>
        </w:rPr>
      </w:pPr>
      <w:r>
        <w:rPr>
          <w:rFonts w:ascii="Cambria" w:hAnsi="Cambria"/>
          <w:sz w:val="28"/>
          <w:szCs w:val="28"/>
          <w:rtl w:val="0"/>
          <w:lang w:val="en-US"/>
        </w:rPr>
        <w:t xml:space="preserve">We highlight the continuing measures of authorities to combat discrimination in all forms, and fight hate speech and hate crimes. Bulgaria recognizes the efforts to increase the access to health services for disadvantaged groups, including children, women with disabilities, and older persons. </w:t>
      </w:r>
    </w:p>
    <w:p>
      <w:pPr>
        <w:pStyle w:val="Body"/>
        <w:jc w:val="both"/>
        <w:rPr>
          <w:sz w:val="28"/>
          <w:szCs w:val="28"/>
        </w:rPr>
      </w:pPr>
      <w:r>
        <w:rPr>
          <w:sz w:val="28"/>
          <w:szCs w:val="28"/>
          <w:rtl w:val="0"/>
          <w:lang w:val="en-US"/>
        </w:rPr>
        <w:t>Bulgaria would like to make the following recommendations:</w:t>
      </w:r>
    </w:p>
    <w:p>
      <w:pPr>
        <w:pStyle w:val="Default"/>
        <w:spacing w:before="0" w:line="240" w:lineRule="auto"/>
        <w:jc w:val="both"/>
        <w:rPr>
          <w:rFonts w:ascii="Times Roman" w:cs="Times Roman" w:hAnsi="Times Roman" w:eastAsia="Times Roman"/>
        </w:rPr>
      </w:pPr>
    </w:p>
    <w:p>
      <w:pPr>
        <w:pStyle w:val="Default"/>
        <w:numPr>
          <w:ilvl w:val="0"/>
          <w:numId w:val="2"/>
        </w:numPr>
        <w:bidi w:val="0"/>
        <w:spacing w:before="0" w:line="240" w:lineRule="auto"/>
        <w:ind w:right="0"/>
        <w:jc w:val="both"/>
        <w:rPr>
          <w:rFonts w:ascii="Cambria" w:hAnsi="Cambria"/>
          <w:sz w:val="28"/>
          <w:szCs w:val="28"/>
          <w:rtl w:val="0"/>
          <w:lang w:val="en-US"/>
        </w:rPr>
      </w:pPr>
      <w:r>
        <w:rPr>
          <w:rFonts w:ascii="Cambria" w:hAnsi="Cambria"/>
          <w:sz w:val="28"/>
          <w:szCs w:val="28"/>
          <w:rtl w:val="0"/>
          <w:lang w:val="en-US"/>
        </w:rPr>
        <w:t>Consider guaranteeing in legislation at least one year of free and compulsory pre-primary education and 12 years of free primary and secondary education.</w:t>
      </w:r>
    </w:p>
    <w:p>
      <w:pPr>
        <w:pStyle w:val="Default"/>
        <w:spacing w:before="0" w:line="240" w:lineRule="auto"/>
        <w:ind w:left="253" w:firstLine="0"/>
        <w:jc w:val="both"/>
        <w:rPr>
          <w:rFonts w:ascii="Cambria" w:cs="Cambria" w:hAnsi="Cambria" w:eastAsia="Cambria"/>
          <w:sz w:val="28"/>
          <w:szCs w:val="28"/>
        </w:rPr>
      </w:pPr>
    </w:p>
    <w:p>
      <w:pPr>
        <w:pStyle w:val="Default"/>
        <w:numPr>
          <w:ilvl w:val="0"/>
          <w:numId w:val="2"/>
        </w:numPr>
        <w:bidi w:val="0"/>
        <w:spacing w:before="0" w:line="240" w:lineRule="auto"/>
        <w:ind w:right="0"/>
        <w:jc w:val="both"/>
        <w:rPr>
          <w:rFonts w:ascii="Cambria" w:hAnsi="Cambria"/>
          <w:sz w:val="28"/>
          <w:szCs w:val="28"/>
          <w:rtl w:val="0"/>
          <w:lang w:val="en-US"/>
        </w:rPr>
      </w:pPr>
      <w:r>
        <w:rPr>
          <w:rFonts w:ascii="Cambria" w:hAnsi="Cambria"/>
          <w:sz w:val="28"/>
          <w:szCs w:val="28"/>
          <w:rtl w:val="0"/>
          <w:lang w:val="en-US"/>
        </w:rPr>
        <w:t>Continue measures to align national legislation on the rights of persons with disabilities with the provisions of the CRPD.</w:t>
      </w:r>
    </w:p>
    <w:p>
      <w:pPr>
        <w:pStyle w:val="List Paragraph"/>
        <w:ind w:left="0" w:firstLine="0"/>
        <w:jc w:val="both"/>
        <w:rPr>
          <w:rFonts w:ascii="Times New Roman" w:cs="Times New Roman" w:hAnsi="Times New Roman" w:eastAsia="Times New Roman"/>
          <w:sz w:val="28"/>
          <w:szCs w:val="28"/>
        </w:rPr>
      </w:pPr>
    </w:p>
    <w:p>
      <w:pPr>
        <w:pStyle w:val="Body"/>
        <w:jc w:val="both"/>
        <w:rPr>
          <w:sz w:val="28"/>
          <w:szCs w:val="28"/>
        </w:rPr>
      </w:pPr>
      <w:r>
        <w:rPr>
          <w:sz w:val="28"/>
          <w:szCs w:val="28"/>
          <w:rtl w:val="0"/>
          <w:lang w:val="en-US"/>
        </w:rPr>
        <w:t>We wish the Delegation of Slovenia a successful outcome of the review!</w:t>
      </w:r>
    </w:p>
    <w:p>
      <w:pPr>
        <w:pStyle w:val="Body"/>
        <w:jc w:val="both"/>
        <w:rPr>
          <w:sz w:val="28"/>
          <w:szCs w:val="28"/>
        </w:rPr>
      </w:pPr>
    </w:p>
    <w:p>
      <w:pPr>
        <w:pStyle w:val="Body"/>
        <w:jc w:val="both"/>
      </w:pPr>
      <w:r>
        <w:rPr>
          <w:sz w:val="28"/>
          <w:szCs w:val="28"/>
          <w:rtl w:val="0"/>
          <w:lang w:val="en-US"/>
        </w:rPr>
        <w:t>Thank you, Mr. President!</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15485</DocId>
    <Category xmlns="328c4b46-73db-4dea-b856-05d9d8a86ba6" xsi:nil="true"/>
  </documentManagement>
</p:properties>
</file>

<file path=customXml/itemProps1.xml><?xml version="1.0" encoding="utf-8"?>
<ds:datastoreItem xmlns:ds="http://schemas.openxmlformats.org/officeDocument/2006/customXml" ds:itemID="{4EC64965-C64D-4C8D-8FBD-4160DB288A62}"/>
</file>

<file path=customXml/itemProps2.xml><?xml version="1.0" encoding="utf-8"?>
<ds:datastoreItem xmlns:ds="http://schemas.openxmlformats.org/officeDocument/2006/customXml" ds:itemID="{943EB996-CE68-471C-9390-E2CB0EB66753}"/>
</file>

<file path=customXml/itemProps3.xml><?xml version="1.0" encoding="utf-8"?>
<ds:datastoreItem xmlns:ds="http://schemas.openxmlformats.org/officeDocument/2006/customXml" ds:itemID="{15A71CE0-AC23-4C25-92EE-5009645B8F2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Bulgaria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