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622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909"/>
        <w:gridCol w:w="1312"/>
        <w:gridCol w:w="4401"/>
      </w:tblGrid>
      <w:tr w:rsidR="00BB5298" w14:paraId="6754B97C" w14:textId="77777777">
        <w:trPr>
          <w:trHeight w:val="1561"/>
        </w:trPr>
        <w:tc>
          <w:tcPr>
            <w:tcW w:w="4909" w:type="dxa"/>
          </w:tcPr>
          <w:p w14:paraId="1ECD6314" w14:textId="77777777" w:rsidR="00BB5298" w:rsidRDefault="00BB5298">
            <w:pPr>
              <w:widowControl w:val="0"/>
              <w:suppressAutoHyphens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 w:bidi="ar-TN"/>
              </w:rPr>
            </w:pPr>
          </w:p>
          <w:p w14:paraId="485EC876" w14:textId="77777777" w:rsidR="00BB5298" w:rsidRDefault="0074047C">
            <w:pPr>
              <w:widowControl w:val="0"/>
              <w:suppressAutoHyphens w:val="0"/>
              <w:spacing w:after="0"/>
              <w:jc w:val="both"/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</w:pP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Mission Permanente de Tunisie</w:t>
            </w:r>
          </w:p>
          <w:p w14:paraId="773D3AAB" w14:textId="77777777" w:rsidR="00BB5298" w:rsidRDefault="0074047C">
            <w:pPr>
              <w:widowControl w:val="0"/>
              <w:suppressAutoHyphens w:val="0"/>
              <w:spacing w:after="0"/>
            </w:pPr>
            <w:r>
              <w:rPr>
                <w:rFonts w:ascii="Sitka Subheading" w:eastAsia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 xml:space="preserve">                  </w:t>
            </w:r>
            <w:r>
              <w:rPr>
                <w:rFonts w:ascii="Sitka Subheading" w:hAnsi="Sitka Subheading" w:cs="Sitka Subheading"/>
                <w:b/>
                <w:bCs/>
                <w:i/>
                <w:iCs/>
                <w:sz w:val="28"/>
                <w:szCs w:val="28"/>
                <w:lang w:val="fr-CH" w:eastAsia="en-US"/>
              </w:rPr>
              <w:t>à Genève</w:t>
            </w:r>
          </w:p>
          <w:p w14:paraId="0300B03B" w14:textId="77777777"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H" w:eastAsia="en-US"/>
              </w:rPr>
            </w:pPr>
          </w:p>
          <w:p w14:paraId="4C756F85" w14:textId="77777777" w:rsidR="00BB5298" w:rsidRDefault="00BB529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H" w:eastAsia="en-US"/>
              </w:rPr>
            </w:pPr>
          </w:p>
        </w:tc>
        <w:tc>
          <w:tcPr>
            <w:tcW w:w="1312" w:type="dxa"/>
          </w:tcPr>
          <w:p w14:paraId="504421FA" w14:textId="77777777" w:rsidR="00BB5298" w:rsidRDefault="0074047C">
            <w:pPr>
              <w:widowControl w:val="0"/>
              <w:suppressAutoHyphens w:val="0"/>
              <w:spacing w:after="0" w:line="240" w:lineRule="auto"/>
              <w:jc w:val="both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30874D05" wp14:editId="51A27BE0">
                  <wp:extent cx="694055" cy="1019175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-283" t="-191" r="-283" b="-1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1" w:type="dxa"/>
          </w:tcPr>
          <w:p w14:paraId="60D84A70" w14:textId="77777777" w:rsidR="00BB5298" w:rsidRDefault="00BB5298">
            <w:pPr>
              <w:widowControl w:val="0"/>
              <w:suppressAutoHyphens w:val="0"/>
              <w:snapToGrid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</w:p>
          <w:p w14:paraId="64AC83A0" w14:textId="77777777"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البعثة الدائمة للجمهورية التونسية</w:t>
            </w:r>
          </w:p>
          <w:p w14:paraId="49428244" w14:textId="77777777" w:rsidR="00BB5298" w:rsidRDefault="0074047C">
            <w:pPr>
              <w:widowControl w:val="0"/>
              <w:suppressAutoHyphens w:val="0"/>
              <w:spacing w:after="0" w:line="163" w:lineRule="auto"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lang w:val="fr-CH" w:eastAsia="en-US" w:bidi="ar-TN"/>
              </w:rPr>
            </w:pPr>
            <w:r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val="fr-CH" w:eastAsia="en-US" w:bidi="ar-TN"/>
              </w:rPr>
              <w:t>بجنيف</w:t>
            </w:r>
          </w:p>
          <w:p w14:paraId="178C4F2F" w14:textId="77777777" w:rsidR="00BB5298" w:rsidRDefault="00BB5298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fr-CH" w:eastAsia="en-US" w:bidi="ar-TN"/>
              </w:rPr>
            </w:pPr>
          </w:p>
          <w:p w14:paraId="7CC687CD" w14:textId="77777777" w:rsidR="00BB5298" w:rsidRDefault="00BB5298">
            <w:pPr>
              <w:widowControl w:val="0"/>
              <w:suppressAutoHyphens w:val="0"/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en-US" w:bidi="ar-TN"/>
              </w:rPr>
            </w:pPr>
          </w:p>
        </w:tc>
      </w:tr>
    </w:tbl>
    <w:p w14:paraId="385CA72F" w14:textId="77777777" w:rsidR="009D29AA" w:rsidRPr="00203A45" w:rsidRDefault="009D29AA" w:rsidP="009D29AA">
      <w:pPr>
        <w:suppressAutoHyphens w:val="0"/>
        <w:bidi/>
        <w:spacing w:after="0" w:line="240" w:lineRule="auto"/>
        <w:ind w:firstLine="622"/>
        <w:jc w:val="center"/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>الدورة الـ 48 للفريق العامل المعني بالاستعراض الدوري الشامل</w:t>
      </w:r>
    </w:p>
    <w:p w14:paraId="55868772" w14:textId="77777777" w:rsidR="00BB5298" w:rsidRPr="00203A45" w:rsidRDefault="009D29AA" w:rsidP="009D29AA">
      <w:pPr>
        <w:suppressAutoHyphens w:val="0"/>
        <w:bidi/>
        <w:spacing w:after="0" w:line="240" w:lineRule="auto"/>
        <w:ind w:firstLine="622"/>
        <w:jc w:val="center"/>
        <w:rPr>
          <w:rFonts w:ascii="Simplified Arabic" w:hAnsi="Simplified Arabic" w:cs="Simplified Arabic"/>
          <w:color w:val="0070C0"/>
          <w:sz w:val="40"/>
          <w:szCs w:val="40"/>
          <w:rtl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 </w:t>
      </w:r>
      <w:r w:rsidR="0074047C"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مداخلة الوفد التونسي في جلسة استعراض </w:t>
      </w: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التقرير الوطني </w:t>
      </w:r>
      <w:r w:rsidR="00581636">
        <w:rPr>
          <w:rFonts w:ascii="Simplified Arabic" w:eastAsia="Times New Roman" w:hAnsi="Simplified Arabic" w:cs="Simplified Arabic" w:hint="cs"/>
          <w:b/>
          <w:bCs/>
          <w:color w:val="0070C0"/>
          <w:sz w:val="40"/>
          <w:szCs w:val="40"/>
          <w:rtl/>
          <w:lang w:val="fr-CH" w:eastAsia="en-US" w:bidi="ar-TN"/>
        </w:rPr>
        <w:t>لغامبي</w:t>
      </w:r>
      <w:r w:rsidR="00581636">
        <w:rPr>
          <w:rFonts w:ascii="Simplified Arabic" w:eastAsia="Times New Roman" w:hAnsi="Simplified Arabic" w:cs="Simplified Arabic" w:hint="eastAsia"/>
          <w:b/>
          <w:bCs/>
          <w:color w:val="0070C0"/>
          <w:sz w:val="40"/>
          <w:szCs w:val="40"/>
          <w:rtl/>
          <w:lang w:val="fr-CH" w:eastAsia="en-US" w:bidi="ar-TN"/>
        </w:rPr>
        <w:t>ا</w:t>
      </w:r>
    </w:p>
    <w:p w14:paraId="2507044C" w14:textId="77777777" w:rsidR="00BB5298" w:rsidRPr="00203A45" w:rsidRDefault="009D29AA" w:rsidP="00F0366B">
      <w:pPr>
        <w:suppressAutoHyphens w:val="0"/>
        <w:bidi/>
        <w:spacing w:after="0" w:line="240" w:lineRule="auto"/>
        <w:ind w:firstLine="622"/>
        <w:jc w:val="center"/>
        <w:rPr>
          <w:rFonts w:ascii="Simplified Arabic" w:hAnsi="Simplified Arabic" w:cs="Simplified Arabic"/>
          <w:color w:val="0070C0"/>
          <w:sz w:val="40"/>
          <w:szCs w:val="40"/>
        </w:rPr>
      </w:pP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>(2</w:t>
      </w:r>
      <w:r w:rsidR="00581636">
        <w:rPr>
          <w:rFonts w:ascii="Simplified Arabic" w:eastAsia="Times New Roman" w:hAnsi="Simplified Arabic" w:cs="Simplified Arabic" w:hint="cs"/>
          <w:b/>
          <w:bCs/>
          <w:color w:val="0070C0"/>
          <w:sz w:val="40"/>
          <w:szCs w:val="40"/>
          <w:rtl/>
          <w:lang w:val="fr-CH" w:eastAsia="en-US" w:bidi="ar-TN"/>
        </w:rPr>
        <w:t>1</w:t>
      </w:r>
      <w:r w:rsidRPr="00203A45">
        <w:rPr>
          <w:rFonts w:ascii="Simplified Arabic" w:eastAsia="Times New Roman" w:hAnsi="Simplified Arabic" w:cs="Simplified Arabic"/>
          <w:b/>
          <w:bCs/>
          <w:color w:val="0070C0"/>
          <w:sz w:val="40"/>
          <w:szCs w:val="40"/>
          <w:rtl/>
          <w:lang w:val="fr-CH" w:eastAsia="en-US" w:bidi="ar-TN"/>
        </w:rPr>
        <w:t xml:space="preserve"> جانفي 2025) </w:t>
      </w:r>
    </w:p>
    <w:p w14:paraId="193C8FF5" w14:textId="77777777" w:rsidR="00BB5298" w:rsidRPr="00926FC4" w:rsidRDefault="00BB5298">
      <w:pPr>
        <w:suppressAutoHyphens w:val="0"/>
        <w:bidi/>
        <w:spacing w:after="0" w:line="240" w:lineRule="auto"/>
        <w:ind w:firstLine="622"/>
        <w:jc w:val="both"/>
        <w:rPr>
          <w:rFonts w:ascii="Simplified Arabic" w:eastAsia="Times New Roman" w:hAnsi="Simplified Arabic" w:cs="Simplified Arabic"/>
          <w:b/>
          <w:bCs/>
          <w:color w:val="FF0000"/>
          <w:sz w:val="16"/>
          <w:szCs w:val="16"/>
          <w:lang w:val="fr-CH" w:eastAsia="en-US" w:bidi="ar-TN"/>
        </w:rPr>
      </w:pPr>
    </w:p>
    <w:p w14:paraId="436B7442" w14:textId="77777777" w:rsidR="00BB5298" w:rsidRPr="00203A45" w:rsidRDefault="00BB5298" w:rsidP="00456A42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4"/>
          <w:szCs w:val="4"/>
        </w:rPr>
      </w:pPr>
    </w:p>
    <w:p w14:paraId="0C57E20B" w14:textId="77777777" w:rsidR="00027EFA" w:rsidRPr="00027EFA" w:rsidRDefault="00027EFA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eastAsia="ar-TN" w:bidi="ar-TN"/>
        </w:rPr>
      </w:pPr>
    </w:p>
    <w:p w14:paraId="22878036" w14:textId="77777777" w:rsidR="00581636" w:rsidRPr="00581636" w:rsidRDefault="00581636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</w:pPr>
      <w:r w:rsidRPr="0058163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ي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ُ</w:t>
      </w:r>
      <w:r w:rsidRPr="0058163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رحب وفد بلادي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بالوفد الغ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مبي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الموقّر، 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ويشكره</w:t>
      </w:r>
      <w:r w:rsidRPr="0058163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على التقرير الوطني 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المقدم</w:t>
      </w:r>
      <w:r w:rsidR="001258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.</w:t>
      </w:r>
    </w:p>
    <w:p w14:paraId="434E64A5" w14:textId="77777777" w:rsidR="00027EFA" w:rsidRPr="00027EFA" w:rsidRDefault="00027EFA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2"/>
          <w:szCs w:val="12"/>
          <w:rtl/>
          <w:lang w:eastAsia="ar-TN" w:bidi="ar-TN"/>
        </w:rPr>
      </w:pPr>
    </w:p>
    <w:p w14:paraId="3177DD4B" w14:textId="77777777" w:rsidR="00581636" w:rsidRPr="00581636" w:rsidRDefault="00581636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</w:pP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ون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ُ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ثم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ّ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ن</w:t>
      </w:r>
      <w:r w:rsidR="00125841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  <w:t xml:space="preserve"> </w:t>
      </w:r>
      <w:r w:rsidR="00125841"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الجهود المبذولة </w:t>
      </w:r>
      <w:r w:rsidR="001258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من قبل الحكومة الغامبية </w:t>
      </w:r>
      <w:r w:rsidR="00125841"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في إطار تنفيذ توصيات الاستعراض </w:t>
      </w:r>
      <w:r w:rsidR="00125841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الفارط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،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1258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اعتماد</w:t>
      </w:r>
      <w:r w:rsidR="001258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ها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لحزمة 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هامة من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الإجراءات 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والتشريعات </w:t>
      </w:r>
      <w:r w:rsidR="00125841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من أجل 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مزيد دعم حقوق الإنسان وتعزيزها،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على غرار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قانون الأشخاص ذوي الإعاقة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ل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سنة 2021، 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قانون منع التعذيب وحظره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،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قانون العمل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ل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سنة 2023. </w:t>
      </w:r>
    </w:p>
    <w:p w14:paraId="5E71476F" w14:textId="77777777" w:rsidR="00027EFA" w:rsidRPr="00027EFA" w:rsidRDefault="00027EFA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  <w:rtl/>
          <w:lang w:eastAsia="ar-TN" w:bidi="ar-TN"/>
        </w:rPr>
      </w:pPr>
    </w:p>
    <w:p w14:paraId="3ACE4836" w14:textId="77777777" w:rsidR="00926FC4" w:rsidRPr="00027EFA" w:rsidRDefault="00125841" w:rsidP="00027EFA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نشيدّ ب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التقدم المحرز في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دعم جهود التنمية 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مكافحة الفقر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، 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الارتقاء بقطاع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ات 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الصحة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والضمان الاجتماعي و</w:t>
      </w:r>
      <w:r w:rsidR="00FF685D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التعليم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، وتعزيز المساواة بين الجنسين،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إصلاح الجهاز القضائي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،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وتحسين ظروف السجون.  </w:t>
      </w:r>
    </w:p>
    <w:p w14:paraId="16B5261F" w14:textId="77777777" w:rsidR="00027EFA" w:rsidRPr="00027EFA" w:rsidRDefault="00027EFA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4"/>
          <w:szCs w:val="14"/>
          <w:rtl/>
          <w:lang w:eastAsia="ar-TN" w:bidi="ar-TN"/>
        </w:rPr>
      </w:pPr>
    </w:p>
    <w:p w14:paraId="3E843952" w14:textId="77777777" w:rsidR="00581636" w:rsidRDefault="00581636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</w:pPr>
      <w:r w:rsidRPr="0058163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و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في إطار من التفاعل الإيجابي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،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نوصي بما يلي:</w:t>
      </w:r>
    </w:p>
    <w:p w14:paraId="7197D242" w14:textId="77777777" w:rsidR="00027EFA" w:rsidRPr="00581636" w:rsidRDefault="00027EFA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8"/>
          <w:szCs w:val="18"/>
          <w:rtl/>
          <w:lang w:eastAsia="ar-TN" w:bidi="ar-TN"/>
        </w:rPr>
      </w:pPr>
    </w:p>
    <w:p w14:paraId="686A1527" w14:textId="77777777" w:rsidR="00581636" w:rsidRPr="00581636" w:rsidRDefault="00581636" w:rsidP="00027EFA">
      <w:pPr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</w:pP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مواصلة</w:t>
      </w:r>
      <w:r w:rsidRPr="00581636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جهود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</w:t>
      </w:r>
      <w:r w:rsidR="00C97F81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لتصدي لكافة أشكال التمييز والعنف والاستغلال ضد النساء والفتيات.</w:t>
      </w:r>
    </w:p>
    <w:p w14:paraId="48BA57A7" w14:textId="77777777" w:rsidR="00581636" w:rsidRPr="00027EFA" w:rsidRDefault="00581636" w:rsidP="00027EFA">
      <w:pPr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</w:pP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مواصلة جهود 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دعم </w:t>
      </w:r>
      <w:r w:rsidR="00C97F81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الشباب اقتصاديا، و</w:t>
      </w:r>
      <w:r w:rsid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تمكينهم من </w:t>
      </w:r>
      <w:r w:rsidR="00C97F81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فرص عمل مستدامة. </w:t>
      </w:r>
    </w:p>
    <w:p w14:paraId="2FC17D62" w14:textId="77777777" w:rsidR="00C97F81" w:rsidRPr="00581636" w:rsidRDefault="00027EFA" w:rsidP="00027EFA">
      <w:pPr>
        <w:numPr>
          <w:ilvl w:val="0"/>
          <w:numId w:val="5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</w:pPr>
      <w:r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مواصلة الجهود المبذولة لمكافحة الإتجار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بالأشخاص، </w:t>
      </w:r>
      <w:r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والتعهد بالضحايا وحمايتهم. </w:t>
      </w:r>
    </w:p>
    <w:p w14:paraId="2CF3D8AB" w14:textId="77777777" w:rsidR="00027EFA" w:rsidRPr="00027EFA" w:rsidRDefault="00027EFA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20"/>
          <w:szCs w:val="20"/>
          <w:rtl/>
          <w:lang w:eastAsia="ar-TN" w:bidi="ar-TN"/>
        </w:rPr>
      </w:pPr>
    </w:p>
    <w:p w14:paraId="21CBD736" w14:textId="77777777" w:rsidR="00581636" w:rsidRPr="00581636" w:rsidRDefault="00581636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lang w:eastAsia="ar-TN" w:bidi="ar-TN"/>
        </w:rPr>
      </w:pPr>
      <w:r w:rsidRPr="00581636">
        <w:rPr>
          <w:rFonts w:ascii="Simplified Arabic" w:hAnsi="Simplified Arabic" w:cs="Simplified Arabic" w:hint="eastAsia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وفي الختام نتمنى 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لوفد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غامبيا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</w:t>
      </w:r>
      <w:r w:rsidR="00926FC4" w:rsidRPr="00027EFA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الموقّر 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كل</w:t>
      </w:r>
      <w:r w:rsidRPr="00581636">
        <w:rPr>
          <w:rFonts w:ascii="Simplified Arabic" w:hAnsi="Simplified Arabic" w:cs="Simplified Arabic" w:hint="eastAsia"/>
          <w:b/>
          <w:bCs/>
          <w:color w:val="000000" w:themeColor="text1"/>
          <w:sz w:val="32"/>
          <w:szCs w:val="32"/>
          <w:rtl/>
          <w:lang w:eastAsia="ar-TN" w:bidi="ar-TN"/>
        </w:rPr>
        <w:t xml:space="preserve"> التوفيق في استعراضه الدوري </w:t>
      </w:r>
      <w:r w:rsidRPr="00581636"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eastAsia="ar-TN" w:bidi="ar-TN"/>
        </w:rPr>
        <w:t>الشامل،</w:t>
      </w:r>
    </w:p>
    <w:p w14:paraId="240C0A36" w14:textId="77777777" w:rsidR="00027EFA" w:rsidRPr="00027EFA" w:rsidRDefault="00027EFA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  <w:lang w:eastAsia="ar-TN" w:bidi="ar-TN"/>
        </w:rPr>
      </w:pPr>
    </w:p>
    <w:p w14:paraId="7CF07A0D" w14:textId="77777777" w:rsidR="00BB5298" w:rsidRPr="00027EFA" w:rsidRDefault="0074047C" w:rsidP="00027EFA">
      <w:pPr>
        <w:bidi/>
        <w:spacing w:after="0" w:line="240" w:lineRule="auto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r w:rsidRPr="00027EFA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eastAsia="ar-TN" w:bidi="ar-TN"/>
        </w:rPr>
        <w:t>شكــــــــرا.</w:t>
      </w:r>
    </w:p>
    <w:sectPr w:rsidR="00BB5298" w:rsidRPr="00027EFA" w:rsidSect="00500F9E">
      <w:pgSz w:w="11906" w:h="16838"/>
      <w:pgMar w:top="426" w:right="1274" w:bottom="851" w:left="1276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5010000000000000000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tka Subheading">
    <w:altName w:val="Sitka Subheading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716D55"/>
    <w:multiLevelType w:val="multilevel"/>
    <w:tmpl w:val="30CC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righ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righ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righ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righ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F204A31"/>
    <w:multiLevelType w:val="multilevel"/>
    <w:tmpl w:val="FBC2E7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CA5B24"/>
    <w:multiLevelType w:val="multilevel"/>
    <w:tmpl w:val="68F0497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351B3D"/>
    <w:multiLevelType w:val="multilevel"/>
    <w:tmpl w:val="6EB826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67813845">
    <w:abstractNumId w:val="4"/>
  </w:num>
  <w:num w:numId="2" w16cid:durableId="1583374675">
    <w:abstractNumId w:val="3"/>
  </w:num>
  <w:num w:numId="3" w16cid:durableId="580993531">
    <w:abstractNumId w:val="2"/>
  </w:num>
  <w:num w:numId="4" w16cid:durableId="1668316071">
    <w:abstractNumId w:val="0"/>
  </w:num>
  <w:num w:numId="5" w16cid:durableId="162269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98"/>
    <w:rsid w:val="00027EFA"/>
    <w:rsid w:val="000860AC"/>
    <w:rsid w:val="000F37F9"/>
    <w:rsid w:val="00125841"/>
    <w:rsid w:val="00200561"/>
    <w:rsid w:val="00203A45"/>
    <w:rsid w:val="002212A3"/>
    <w:rsid w:val="00247552"/>
    <w:rsid w:val="00456A42"/>
    <w:rsid w:val="00500F9E"/>
    <w:rsid w:val="00581636"/>
    <w:rsid w:val="006815D2"/>
    <w:rsid w:val="0074047C"/>
    <w:rsid w:val="007657A3"/>
    <w:rsid w:val="00821F32"/>
    <w:rsid w:val="008B0C77"/>
    <w:rsid w:val="008D4C23"/>
    <w:rsid w:val="00926FC4"/>
    <w:rsid w:val="009D29AA"/>
    <w:rsid w:val="00BB5298"/>
    <w:rsid w:val="00BB6A19"/>
    <w:rsid w:val="00C42DC4"/>
    <w:rsid w:val="00C97F81"/>
    <w:rsid w:val="00D40AE3"/>
    <w:rsid w:val="00D531DE"/>
    <w:rsid w:val="00E4452D"/>
    <w:rsid w:val="00E761A6"/>
    <w:rsid w:val="00F0366B"/>
    <w:rsid w:val="00F94C8E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1B3E"/>
  <w15:docId w15:val="{33417DB3-A8F8-4308-B473-646EFB99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CH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fr-FR" w:bidi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;Arial Unicode MS"/>
    </w:rPr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4z0">
    <w:name w:val="WW8Num4z0"/>
    <w:qFormat/>
    <w:rPr>
      <w:rFonts w:ascii="Sakkal Majalla" w:eastAsia="Calibri" w:hAnsi="Sakkal Majalla" w:cs="Sakkal Majalla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eastAsia="Calibri" w:hAnsi="Symbol" w:cs="Sakkal Majalla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HeaderChar">
    <w:name w:val="Header Char"/>
    <w:basedOn w:val="Policepardfaut"/>
    <w:qFormat/>
  </w:style>
  <w:style w:type="character" w:customStyle="1" w:styleId="FooterChar">
    <w:name w:val="Footer Char"/>
    <w:basedOn w:val="Policepardfaut"/>
    <w:qFormat/>
  </w:style>
  <w:style w:type="character" w:customStyle="1" w:styleId="Puces">
    <w:name w:val="Puc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TextedebullesCar">
    <w:name w:val="Texte de bulles Car"/>
    <w:qFormat/>
    <w:rPr>
      <w:rFonts w:ascii="Segoe UI" w:eastAsia="Calibri" w:hAnsi="Segoe UI" w:cs="Segoe UI"/>
      <w:sz w:val="18"/>
      <w:szCs w:val="18"/>
      <w:lang w:val="fr-FR"/>
    </w:rPr>
  </w:style>
  <w:style w:type="character" w:styleId="Accentuation">
    <w:name w:val="Emphasis"/>
    <w:qFormat/>
    <w:rPr>
      <w:i/>
      <w:iCs/>
    </w:rPr>
  </w:style>
  <w:style w:type="character" w:customStyle="1" w:styleId="Titre2Car">
    <w:name w:val="Titre 2 Car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pacing w:after="0" w:line="240" w:lineRule="auto"/>
    </w:pPr>
  </w:style>
  <w:style w:type="paragraph" w:styleId="Pieddepage">
    <w:name w:val="footer"/>
    <w:basedOn w:val="Normal"/>
    <w:pPr>
      <w:spacing w:after="0" w:line="240" w:lineRule="auto"/>
    </w:p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14434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70E975F-C9A0-4CD9-BB15-944FF94690E8}"/>
</file>

<file path=customXml/itemProps2.xml><?xml version="1.0" encoding="utf-8"?>
<ds:datastoreItem xmlns:ds="http://schemas.openxmlformats.org/officeDocument/2006/customXml" ds:itemID="{842C1882-77CB-43F0-BE39-DFC2CD164288}"/>
</file>

<file path=customXml/itemProps3.xml><?xml version="1.0" encoding="utf-8"?>
<ds:datastoreItem xmlns:ds="http://schemas.openxmlformats.org/officeDocument/2006/customXml" ds:itemID="{14EA84F5-5CD1-4D2E-968B-21E8E613B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Tunisia</dc:title>
  <dc:creator>YOYA</dc:creator>
  <cp:lastModifiedBy>MPT MPT</cp:lastModifiedBy>
  <cp:revision>2</cp:revision>
  <cp:lastPrinted>2020-01-13T11:55:00Z</cp:lastPrinted>
  <dcterms:created xsi:type="dcterms:W3CDTF">2025-01-20T10:06:00Z</dcterms:created>
  <dcterms:modified xsi:type="dcterms:W3CDTF">2025-01-20T10:06:00Z</dcterms:modified>
  <dc:language>fr-CH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