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541"/>
        <w:bidiVisual/>
        <w:tblW w:w="11520" w:type="dxa"/>
        <w:tblLayout w:type="fixed"/>
        <w:tblLook w:val="0000" w:firstRow="0" w:lastRow="0" w:firstColumn="0" w:lastColumn="0" w:noHBand="0" w:noVBand="0"/>
      </w:tblPr>
      <w:tblGrid>
        <w:gridCol w:w="5113"/>
        <w:gridCol w:w="1636"/>
        <w:gridCol w:w="4771"/>
      </w:tblGrid>
      <w:tr w:rsidR="00953920">
        <w:trPr>
          <w:trHeight w:val="1526"/>
        </w:trPr>
        <w:tc>
          <w:tcPr>
            <w:tcW w:w="5113" w:type="dxa"/>
            <w:shd w:val="clear" w:color="auto" w:fill="FFFFFF"/>
          </w:tcPr>
          <w:p w:rsidR="00953920" w:rsidRDefault="00953920" w:rsidP="00953920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البعثة</w:t>
            </w:r>
            <w:r>
              <w:rPr>
                <w:rFonts w:hint="cs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الدائمة لجمهورية مصر العربية</w:t>
            </w:r>
            <w:r>
              <w:rPr>
                <w:rFonts w:hint="cs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لدى مكتب الأمم المتحدة ومنظمة التجارة العالمية والمنظمات الدولية الأخرى بجنيف</w:t>
            </w:r>
          </w:p>
          <w:p w:rsidR="00953920" w:rsidRDefault="00953920" w:rsidP="00953920">
            <w:pPr>
              <w:bidi/>
              <w:jc w:val="center"/>
              <w:rPr>
                <w:rFonts w:ascii="Calibri" w:hAnsi="Calibri" w:cs="Calibri"/>
                <w:lang w:val="en"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ــ</w:t>
            </w:r>
          </w:p>
        </w:tc>
        <w:tc>
          <w:tcPr>
            <w:tcW w:w="1636" w:type="dxa"/>
            <w:shd w:val="clear" w:color="auto" w:fill="FFFFFF"/>
          </w:tcPr>
          <w:p w:rsidR="00953920" w:rsidRDefault="004320D9" w:rsidP="00953920">
            <w:pPr>
              <w:autoSpaceDE w:val="0"/>
              <w:autoSpaceDN w:val="0"/>
              <w:adjustRightInd w:val="0"/>
              <w:spacing w:before="120" w:after="200" w:line="276" w:lineRule="auto"/>
              <w:jc w:val="center"/>
              <w:rPr>
                <w:rFonts w:ascii="Calibri" w:hAnsi="Calibri" w:cs="Calibri"/>
                <w:sz w:val="22"/>
                <w:szCs w:val="22"/>
                <w:rtl/>
                <w:lang w:val="en" w:bidi="ar-EG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>
                  <wp:extent cx="447675" cy="6191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53920">
              <w:rPr>
                <w:rFonts w:ascii="Calibri" w:hAnsi="Calibri" w:cs="Calibri"/>
                <w:sz w:val="22"/>
                <w:szCs w:val="22"/>
                <w:lang w:val="en" w:bidi="ar-EG"/>
              </w:rPr>
              <w:t xml:space="preserve">  </w:t>
            </w:r>
          </w:p>
          <w:p w:rsidR="00953920" w:rsidRPr="00074FAB" w:rsidRDefault="00953920" w:rsidP="00953920">
            <w:pPr>
              <w:autoSpaceDE w:val="0"/>
              <w:autoSpaceDN w:val="0"/>
              <w:adjustRightInd w:val="0"/>
              <w:spacing w:before="120"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bidi="ar-EG"/>
              </w:rPr>
            </w:pPr>
          </w:p>
        </w:tc>
        <w:tc>
          <w:tcPr>
            <w:tcW w:w="4771" w:type="dxa"/>
            <w:shd w:val="clear" w:color="auto" w:fill="FFFFFF"/>
          </w:tcPr>
          <w:p w:rsidR="00953920" w:rsidRDefault="00953920" w:rsidP="004D25A3">
            <w:pPr>
              <w:ind w:left="162" w:right="-107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Permanent  </w:t>
            </w:r>
            <w:smartTag w:uri="urn:schemas-microsoft-com:office:smarttags" w:element="City">
              <w:r>
                <w:rPr>
                  <w:b/>
                  <w:bCs/>
                  <w:sz w:val="28"/>
                  <w:szCs w:val="28"/>
                </w:rPr>
                <w:t>Mission</w:t>
              </w:r>
            </w:smartTag>
            <w:r>
              <w:rPr>
                <w:b/>
                <w:bCs/>
                <w:sz w:val="28"/>
                <w:szCs w:val="28"/>
              </w:rPr>
              <w:t xml:space="preserve"> Of  </w:t>
            </w:r>
            <w:smartTag w:uri="urn:schemas-microsoft-com:office:smarttags" w:element="country-region">
              <w:r>
                <w:rPr>
                  <w:b/>
                  <w:bCs/>
                  <w:sz w:val="28"/>
                  <w:szCs w:val="28"/>
                </w:rPr>
                <w:t>Egypt</w:t>
              </w:r>
            </w:smartTag>
            <w:r>
              <w:rPr>
                <w:b/>
                <w:bCs/>
                <w:sz w:val="28"/>
                <w:szCs w:val="28"/>
              </w:rPr>
              <w:t xml:space="preserve"> to United Nations Office, World Trade Organization and other International Organizations in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b/>
                    <w:bCs/>
                    <w:sz w:val="28"/>
                    <w:szCs w:val="28"/>
                  </w:rPr>
                  <w:t>Geneva</w:t>
                </w:r>
              </w:smartTag>
            </w:smartTag>
          </w:p>
          <w:p w:rsidR="00953920" w:rsidRDefault="00953920" w:rsidP="0095392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</w:t>
            </w:r>
          </w:p>
          <w:p w:rsidR="00953920" w:rsidRDefault="00953920" w:rsidP="0095392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 w:bidi="ar-EG"/>
              </w:rPr>
            </w:pPr>
            <w:r>
              <w:rPr>
                <w:rFonts w:ascii="Calibri" w:hAnsi="Calibri" w:cs="Calibri"/>
                <w:sz w:val="32"/>
                <w:szCs w:val="32"/>
                <w:lang w:val="en" w:bidi="ar-EG"/>
              </w:rPr>
              <w:t xml:space="preserve">                  </w:t>
            </w:r>
          </w:p>
        </w:tc>
      </w:tr>
    </w:tbl>
    <w:p w:rsidR="00533697" w:rsidRDefault="00533697" w:rsidP="00E30BD2">
      <w:pPr>
        <w:spacing w:line="460" w:lineRule="exact"/>
        <w:jc w:val="center"/>
        <w:rPr>
          <w:rFonts w:ascii="Simplified Arabic" w:hAnsi="Simplified Arabic" w:cs="Simplified Arabic"/>
          <w:b/>
          <w:bCs/>
          <w:sz w:val="36"/>
          <w:szCs w:val="36"/>
        </w:rPr>
      </w:pPr>
      <w:r w:rsidRPr="00533697">
        <w:rPr>
          <w:rFonts w:ascii="Simplified Arabic" w:hAnsi="Simplified Arabic" w:cs="Simplified Arabic"/>
          <w:b/>
          <w:bCs/>
          <w:sz w:val="36"/>
          <w:szCs w:val="36"/>
          <w:rtl/>
        </w:rPr>
        <w:t>بيان</w:t>
      </w:r>
    </w:p>
    <w:p w:rsidR="00533697" w:rsidRPr="00533697" w:rsidRDefault="00533697" w:rsidP="00E30BD2">
      <w:pPr>
        <w:spacing w:line="460" w:lineRule="exact"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533697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وفد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  <w:r w:rsidRPr="00533697">
        <w:rPr>
          <w:rFonts w:ascii="Simplified Arabic" w:hAnsi="Simplified Arabic" w:cs="Simplified Arabic"/>
          <w:b/>
          <w:bCs/>
          <w:sz w:val="36"/>
          <w:szCs w:val="36"/>
          <w:rtl/>
        </w:rPr>
        <w:t>جمهورية مصر العربية</w:t>
      </w:r>
    </w:p>
    <w:p w:rsidR="00533697" w:rsidRPr="00533697" w:rsidRDefault="00533697" w:rsidP="00D37AA0">
      <w:pPr>
        <w:spacing w:line="460" w:lineRule="exact"/>
        <w:jc w:val="center"/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</w:pPr>
      <w:r w:rsidRPr="00533697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في جلسة </w:t>
      </w:r>
      <w:r w:rsidR="00157D9C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المراجعة</w:t>
      </w:r>
      <w:r w:rsidRPr="00533697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الدوري</w:t>
      </w:r>
      <w:r w:rsidR="00157D9C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ة</w:t>
      </w:r>
      <w:r w:rsidRPr="00533697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الشامل</w:t>
      </w:r>
      <w:r w:rsidR="00157D9C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ة</w:t>
      </w:r>
      <w:r w:rsidR="00D37AA0" w:rsidRPr="00D37AA0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  <w:r w:rsidR="00D37AA0">
        <w:rPr>
          <w:rFonts w:ascii="Simplified Arabic" w:hAnsi="Simplified Arabic" w:cs="Simplified Arabic"/>
          <w:b/>
          <w:bCs/>
          <w:sz w:val="36"/>
          <w:szCs w:val="36"/>
          <w:rtl/>
        </w:rPr>
        <w:t>لجمهورية</w:t>
      </w:r>
      <w:r w:rsidR="00D37AA0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  <w:proofErr w:type="spellStart"/>
      <w:r w:rsidR="00D37AA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جامبي</w:t>
      </w:r>
      <w:proofErr w:type="spellEnd"/>
      <w:r w:rsidR="00D37AA0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ا</w:t>
      </w:r>
    </w:p>
    <w:p w:rsidR="00533697" w:rsidRPr="00D37AA0" w:rsidRDefault="00D37AA0" w:rsidP="00F04BCE">
      <w:pPr>
        <w:spacing w:line="460" w:lineRule="exact"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D37AA0">
        <w:rPr>
          <w:rFonts w:ascii="Simplified Arabic" w:hAnsi="Simplified Arabic" w:cs="Simplified Arabic" w:hint="cs"/>
          <w:b/>
          <w:bCs/>
          <w:sz w:val="36"/>
          <w:szCs w:val="36"/>
          <w:rtl/>
        </w:rPr>
        <w:t>21 يناير 2025</w:t>
      </w:r>
    </w:p>
    <w:p w:rsidR="00533697" w:rsidRPr="00533697" w:rsidRDefault="00533697" w:rsidP="00E30BD2">
      <w:pPr>
        <w:spacing w:line="460" w:lineRule="exact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533697">
        <w:rPr>
          <w:rFonts w:ascii="Simplified Arabic" w:hAnsi="Simplified Arabic" w:cs="Simplified Arabic"/>
          <w:b/>
          <w:bCs/>
          <w:sz w:val="36"/>
          <w:szCs w:val="36"/>
          <w:rtl/>
        </w:rPr>
        <w:t>***</w:t>
      </w:r>
    </w:p>
    <w:p w:rsidR="00533697" w:rsidRDefault="00533697" w:rsidP="00E30BD2">
      <w:pPr>
        <w:autoSpaceDE w:val="0"/>
        <w:autoSpaceDN w:val="0"/>
        <w:bidi/>
        <w:adjustRightInd w:val="0"/>
        <w:spacing w:after="200" w:line="460" w:lineRule="exact"/>
        <w:ind w:right="-720" w:hanging="1080"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</w:pPr>
      <w:r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>السيد الرئيس،</w:t>
      </w:r>
    </w:p>
    <w:p w:rsidR="006D6202" w:rsidRDefault="00533697" w:rsidP="00F04BCE">
      <w:pPr>
        <w:autoSpaceDE w:val="0"/>
        <w:autoSpaceDN w:val="0"/>
        <w:bidi/>
        <w:adjustRightInd w:val="0"/>
        <w:spacing w:after="200" w:line="460" w:lineRule="exact"/>
        <w:ind w:left="-1080" w:right="-720"/>
        <w:jc w:val="both"/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 xml:space="preserve">   </w:t>
      </w:r>
      <w:r w:rsidR="00725AD5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>نرحب بوفد جمهورية</w:t>
      </w:r>
      <w:r w:rsidR="00AF74F8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 xml:space="preserve"> </w:t>
      </w:r>
      <w:r w:rsidR="00F04BCE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>جامبيا</w:t>
      </w:r>
      <w:r w:rsidR="00E30BD2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 xml:space="preserve"> </w:t>
      </w:r>
      <w:r w:rsidR="006D6202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>و</w:t>
      </w:r>
      <w:r w:rsidR="00725AD5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>ن</w:t>
      </w:r>
      <w:r w:rsidR="006D6202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 xml:space="preserve">شكره على العرض </w:t>
      </w:r>
      <w:r w:rsidR="002A0946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>المقدم الذي</w:t>
      </w:r>
      <w:r w:rsidR="00F04BCE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 xml:space="preserve"> عكس الجهود الوطنية الحثيثة لحماية وتعزيز حقوق الانسان</w:t>
      </w:r>
      <w:r w:rsidR="00E51104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 xml:space="preserve"> والعملية التشاورية الموسعة</w:t>
      </w:r>
      <w:r w:rsidR="00E51104">
        <w:rPr>
          <w:rFonts w:ascii="Simplified Arabic" w:hAnsi="Simplified Arabic" w:cs="Simplified Arabic"/>
          <w:b/>
          <w:bCs/>
          <w:spacing w:val="6"/>
          <w:sz w:val="36"/>
          <w:szCs w:val="36"/>
          <w:lang w:bidi="ar-EG"/>
        </w:rPr>
        <w:t xml:space="preserve"> </w:t>
      </w:r>
      <w:r w:rsidR="00E51104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 xml:space="preserve">التي خضع لها التقرير المقدم لآلية الاستعراض الدوري الشامل. </w:t>
      </w:r>
    </w:p>
    <w:p w:rsidR="00B41652" w:rsidRDefault="006D6202" w:rsidP="00700007">
      <w:pPr>
        <w:autoSpaceDE w:val="0"/>
        <w:autoSpaceDN w:val="0"/>
        <w:bidi/>
        <w:adjustRightInd w:val="0"/>
        <w:spacing w:after="200" w:line="460" w:lineRule="exact"/>
        <w:ind w:left="-1080" w:right="-720" w:firstLine="360"/>
        <w:jc w:val="both"/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 xml:space="preserve">ويثمن </w:t>
      </w:r>
      <w:r w:rsidR="00F04BCE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 xml:space="preserve">وفد بلادي </w:t>
      </w:r>
      <w:r w:rsidR="00E51104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>مواصلة جمهورية جامبيا ل</w:t>
      </w:r>
      <w:r w:rsidR="00F04BCE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>لجهود الوطنية ال</w:t>
      </w:r>
      <w:r w:rsidR="00E51104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>رامية</w:t>
      </w:r>
      <w:r w:rsidR="00F04BCE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 xml:space="preserve"> </w:t>
      </w:r>
      <w:r w:rsidR="00E51104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>ل</w:t>
      </w:r>
      <w:r w:rsidR="00F04BCE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 xml:space="preserve">تعزيز </w:t>
      </w:r>
      <w:r w:rsidR="00A223E2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>البنية التشريعية والمؤسسية ذات الصلة بحقوق الانسان</w:t>
      </w:r>
      <w:r w:rsidR="00320452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 xml:space="preserve"> والحريات الأساسية</w:t>
      </w:r>
      <w:r w:rsidR="00A223E2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 xml:space="preserve">، وكذا </w:t>
      </w:r>
      <w:r w:rsidR="00320452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>الجهود الخاصة ب</w:t>
      </w:r>
      <w:r w:rsidR="00754C73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 xml:space="preserve">تعزيز حقوق المرأة وتمكينها </w:t>
      </w:r>
      <w:r w:rsidR="008C2406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>ومكافحة كافة أشكال العنف ضدها</w:t>
      </w:r>
      <w:r w:rsidR="00754C73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 xml:space="preserve">، </w:t>
      </w:r>
      <w:r w:rsidR="008C2406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 xml:space="preserve">بالإضافة الى </w:t>
      </w:r>
      <w:r w:rsidR="00754C73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>تعزيز حقوق الطفل</w:t>
      </w:r>
      <w:r w:rsidR="008C2406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 xml:space="preserve"> </w:t>
      </w:r>
      <w:r w:rsidR="00E51104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 xml:space="preserve">والشباب </w:t>
      </w:r>
      <w:r w:rsidR="008C2406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 xml:space="preserve">والاشخاص </w:t>
      </w:r>
      <w:r w:rsidR="002A0946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>ذوي</w:t>
      </w:r>
      <w:r w:rsidR="008C2406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 xml:space="preserve"> الإعاقة</w:t>
      </w:r>
      <w:r w:rsidR="00CF23DC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 xml:space="preserve">، </w:t>
      </w:r>
      <w:r w:rsidR="00320452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 xml:space="preserve">فضلاً عن </w:t>
      </w:r>
      <w:r w:rsidR="00CF23DC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 xml:space="preserve">جهود </w:t>
      </w:r>
      <w:r w:rsidR="00E51104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 xml:space="preserve">مناهضة </w:t>
      </w:r>
      <w:r w:rsidR="00CF23DC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>التعذيب وتحسين ظروف أماكن الاحتجاز</w:t>
      </w:r>
      <w:r w:rsidR="00C060E9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 xml:space="preserve"> </w:t>
      </w:r>
      <w:r w:rsidR="00E51104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>ومكافحة التمييز</w:t>
      </w:r>
      <w:r w:rsidR="00754C73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 xml:space="preserve">. </w:t>
      </w:r>
    </w:p>
    <w:p w:rsidR="00533697" w:rsidRDefault="00533697" w:rsidP="0041294E">
      <w:pPr>
        <w:autoSpaceDE w:val="0"/>
        <w:autoSpaceDN w:val="0"/>
        <w:bidi/>
        <w:adjustRightInd w:val="0"/>
        <w:spacing w:after="200" w:line="460" w:lineRule="exact"/>
        <w:ind w:left="-1080" w:right="-720"/>
        <w:jc w:val="both"/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 xml:space="preserve">  </w:t>
      </w:r>
      <w:r w:rsidR="002A0946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 xml:space="preserve">وفى إطار </w:t>
      </w:r>
      <w:r w:rsidR="004C5280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التفاعل البناء</w:t>
      </w:r>
      <w:r w:rsidR="00700007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،</w:t>
      </w:r>
      <w:r w:rsidR="004C5280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 xml:space="preserve"> </w:t>
      </w:r>
      <w:r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>نود أن نتقدم بالتوصيتين التاليتين</w:t>
      </w:r>
      <w:bookmarkStart w:id="0" w:name="_GoBack"/>
      <w:bookmarkEnd w:id="0"/>
      <w:r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>:</w:t>
      </w:r>
    </w:p>
    <w:p w:rsidR="000C1DB1" w:rsidRDefault="00754C73" w:rsidP="00320452">
      <w:pPr>
        <w:numPr>
          <w:ilvl w:val="0"/>
          <w:numId w:val="3"/>
        </w:numPr>
        <w:autoSpaceDE w:val="0"/>
        <w:autoSpaceDN w:val="0"/>
        <w:bidi/>
        <w:adjustRightInd w:val="0"/>
        <w:spacing w:after="200" w:line="460" w:lineRule="exact"/>
        <w:ind w:right="-720"/>
        <w:jc w:val="both"/>
        <w:rPr>
          <w:rFonts w:ascii="Simplified Arabic" w:hAnsi="Simplified Arabic" w:cs="Simplified Arabic" w:hint="cs"/>
          <w:b/>
          <w:bCs/>
          <w:sz w:val="36"/>
          <w:szCs w:val="36"/>
          <w:lang w:bidi="ar-EG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 xml:space="preserve">مواصلة الجهود الخاصة </w:t>
      </w:r>
      <w:r w:rsidR="00700007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بتعزيز الحق في التعليم، وبخاصة في المناطق الريفية.</w:t>
      </w:r>
    </w:p>
    <w:p w:rsidR="00754C73" w:rsidRDefault="00754C73" w:rsidP="00754C73">
      <w:pPr>
        <w:numPr>
          <w:ilvl w:val="0"/>
          <w:numId w:val="3"/>
        </w:numPr>
        <w:autoSpaceDE w:val="0"/>
        <w:autoSpaceDN w:val="0"/>
        <w:bidi/>
        <w:adjustRightInd w:val="0"/>
        <w:spacing w:after="200" w:line="460" w:lineRule="exact"/>
        <w:ind w:right="-720"/>
        <w:jc w:val="both"/>
        <w:rPr>
          <w:rFonts w:ascii="Simplified Arabic" w:hAnsi="Simplified Arabic" w:cs="Simplified Arabic" w:hint="cs"/>
          <w:b/>
          <w:bCs/>
          <w:sz w:val="36"/>
          <w:szCs w:val="36"/>
          <w:lang w:bidi="ar-EG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مواصلة الجهود الخاصة بتمكين المرأة</w:t>
      </w:r>
      <w:r w:rsidR="00700007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، وتعزيز مشاركتها في الحياة العامة والسياسية.</w:t>
      </w:r>
    </w:p>
    <w:p w:rsidR="00533697" w:rsidRDefault="00700007" w:rsidP="002A0946">
      <w:pPr>
        <w:autoSpaceDE w:val="0"/>
        <w:autoSpaceDN w:val="0"/>
        <w:bidi/>
        <w:adjustRightInd w:val="0"/>
        <w:spacing w:after="200" w:line="460" w:lineRule="exact"/>
        <w:ind w:right="-360" w:hanging="518"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 xml:space="preserve">وفي الختام، </w:t>
      </w:r>
      <w:r w:rsidR="00320452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نتمنى</w:t>
      </w:r>
      <w:r w:rsidR="00F04BCE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 xml:space="preserve"> ل</w:t>
      </w:r>
      <w:r w:rsidR="002A0946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وفد جمهورية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 xml:space="preserve"> </w:t>
      </w:r>
      <w:r w:rsidR="00F04BCE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جامبيا كل التوفيق خلال الجلسة.</w:t>
      </w:r>
      <w:r w:rsidR="00A857C2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 xml:space="preserve"> </w:t>
      </w:r>
    </w:p>
    <w:p w:rsidR="00700007" w:rsidRDefault="00700007" w:rsidP="00700007">
      <w:pPr>
        <w:autoSpaceDE w:val="0"/>
        <w:autoSpaceDN w:val="0"/>
        <w:bidi/>
        <w:adjustRightInd w:val="0"/>
        <w:spacing w:after="200" w:line="460" w:lineRule="exact"/>
        <w:ind w:right="-360" w:hanging="518"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شكراً السيد الرئيس.</w:t>
      </w:r>
    </w:p>
    <w:p w:rsidR="00533697" w:rsidRDefault="00533697" w:rsidP="00FA6AA2">
      <w:pPr>
        <w:autoSpaceDE w:val="0"/>
        <w:autoSpaceDN w:val="0"/>
        <w:bidi/>
        <w:adjustRightInd w:val="0"/>
        <w:spacing w:after="200" w:line="340" w:lineRule="exact"/>
        <w:ind w:left="26" w:right="-360" w:hanging="518"/>
        <w:jc w:val="center"/>
      </w:pPr>
      <w:r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>ـــــــــــــ</w:t>
      </w:r>
    </w:p>
    <w:sectPr w:rsidR="00533697" w:rsidSect="003D4CA3">
      <w:pgSz w:w="12240" w:h="15840"/>
      <w:pgMar w:top="1440" w:right="1800" w:bottom="0" w:left="12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9F0EB56"/>
    <w:lvl w:ilvl="0">
      <w:numFmt w:val="bullet"/>
      <w:lvlText w:val="*"/>
      <w:lvlJc w:val="left"/>
    </w:lvl>
  </w:abstractNum>
  <w:abstractNum w:abstractNumId="1" w15:restartNumberingAfterBreak="0">
    <w:nsid w:val="5CF85065"/>
    <w:multiLevelType w:val="hybridMultilevel"/>
    <w:tmpl w:val="0F384A92"/>
    <w:lvl w:ilvl="0" w:tplc="0409000F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697"/>
    <w:rsid w:val="00004505"/>
    <w:rsid w:val="0003228B"/>
    <w:rsid w:val="00050005"/>
    <w:rsid w:val="000643F9"/>
    <w:rsid w:val="00064F6F"/>
    <w:rsid w:val="00074FAB"/>
    <w:rsid w:val="000C1DB1"/>
    <w:rsid w:val="000E1A9C"/>
    <w:rsid w:val="00157D9C"/>
    <w:rsid w:val="00193BBB"/>
    <w:rsid w:val="001F5094"/>
    <w:rsid w:val="00210868"/>
    <w:rsid w:val="00251354"/>
    <w:rsid w:val="00282EFA"/>
    <w:rsid w:val="00285A49"/>
    <w:rsid w:val="00290DEB"/>
    <w:rsid w:val="002A0946"/>
    <w:rsid w:val="002E604F"/>
    <w:rsid w:val="003031FA"/>
    <w:rsid w:val="00320452"/>
    <w:rsid w:val="00327B7D"/>
    <w:rsid w:val="00343099"/>
    <w:rsid w:val="00356DD8"/>
    <w:rsid w:val="00376A42"/>
    <w:rsid w:val="00382F1A"/>
    <w:rsid w:val="003D3E2B"/>
    <w:rsid w:val="003D4CA3"/>
    <w:rsid w:val="0041294E"/>
    <w:rsid w:val="004320D9"/>
    <w:rsid w:val="00435724"/>
    <w:rsid w:val="00483BF2"/>
    <w:rsid w:val="004C5280"/>
    <w:rsid w:val="004D25A3"/>
    <w:rsid w:val="005245CC"/>
    <w:rsid w:val="00533697"/>
    <w:rsid w:val="00546ACC"/>
    <w:rsid w:val="0056230F"/>
    <w:rsid w:val="006076DD"/>
    <w:rsid w:val="00655CE1"/>
    <w:rsid w:val="00693571"/>
    <w:rsid w:val="006D3A50"/>
    <w:rsid w:val="006D6202"/>
    <w:rsid w:val="006F51FC"/>
    <w:rsid w:val="00700007"/>
    <w:rsid w:val="00723D4B"/>
    <w:rsid w:val="00725AD5"/>
    <w:rsid w:val="00754C73"/>
    <w:rsid w:val="007C5CDE"/>
    <w:rsid w:val="00834EE6"/>
    <w:rsid w:val="00846A77"/>
    <w:rsid w:val="0089591A"/>
    <w:rsid w:val="008C2406"/>
    <w:rsid w:val="008C3C89"/>
    <w:rsid w:val="00953920"/>
    <w:rsid w:val="009C125C"/>
    <w:rsid w:val="00A223E2"/>
    <w:rsid w:val="00A42CD6"/>
    <w:rsid w:val="00A56CD9"/>
    <w:rsid w:val="00A6535F"/>
    <w:rsid w:val="00A857C2"/>
    <w:rsid w:val="00AF50CD"/>
    <w:rsid w:val="00AF74F8"/>
    <w:rsid w:val="00B41652"/>
    <w:rsid w:val="00C060E9"/>
    <w:rsid w:val="00C13ED0"/>
    <w:rsid w:val="00C50603"/>
    <w:rsid w:val="00C74DAB"/>
    <w:rsid w:val="00CC617F"/>
    <w:rsid w:val="00CE76BA"/>
    <w:rsid w:val="00CF00FB"/>
    <w:rsid w:val="00CF23DC"/>
    <w:rsid w:val="00D3221F"/>
    <w:rsid w:val="00D37AA0"/>
    <w:rsid w:val="00E01237"/>
    <w:rsid w:val="00E30BD2"/>
    <w:rsid w:val="00E4789F"/>
    <w:rsid w:val="00E51104"/>
    <w:rsid w:val="00E66D29"/>
    <w:rsid w:val="00EB1131"/>
    <w:rsid w:val="00EC4A31"/>
    <w:rsid w:val="00EF5980"/>
    <w:rsid w:val="00F04BCE"/>
    <w:rsid w:val="00F623EA"/>
    <w:rsid w:val="00FA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5EA3D12B"/>
  <w15:chartTrackingRefBased/>
  <w15:docId w15:val="{1575D9F3-9BC0-4446-9579-9CD976707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697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7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20514CF0B744BBC024B455E781C9A" ma:contentTypeVersion="3" ma:contentTypeDescription="Create a new document." ma:contentTypeScope="" ma:versionID="edf4f624c29a4893b5e71d36f8f7302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14548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9F7C95FF-741B-4618-BF93-5175174F0891}"/>
</file>

<file path=customXml/itemProps2.xml><?xml version="1.0" encoding="utf-8"?>
<ds:datastoreItem xmlns:ds="http://schemas.openxmlformats.org/officeDocument/2006/customXml" ds:itemID="{30B0CAB0-8BD9-4CFF-8F4F-6E56600289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B5DA72-6305-41BA-915D-3EF0EC72FD4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البعثة الدائمة لجمهورية مصر العربية لدى مكتب الأمم المتحدة ومنظمة التجارة العالمية والمنظمات الدولية الأخرى بجنيف</vt:lpstr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Egypt</dc:title>
  <dc:subject/>
  <dc:creator>ch</dc:creator>
  <cp:keywords/>
  <cp:lastModifiedBy>GENEVE15</cp:lastModifiedBy>
  <cp:revision>3</cp:revision>
  <cp:lastPrinted>2019-05-09T15:39:00Z</cp:lastPrinted>
  <dcterms:created xsi:type="dcterms:W3CDTF">2025-01-20T17:06:00Z</dcterms:created>
  <dcterms:modified xsi:type="dcterms:W3CDTF">2025-01-20T17:06:00Z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0x0101006EA20514CF0B744BBC024B455E781C9A</vt:lpwstr>
  </property>
</Properties>
</file>