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4930" w14:textId="0C73221D" w:rsidR="004B1E84" w:rsidRPr="00110382" w:rsidRDefault="004B1E84" w:rsidP="004B1E84">
      <w:pPr>
        <w:spacing w:after="0" w:line="276" w:lineRule="auto"/>
        <w:rPr>
          <w:rFonts w:ascii="Verdana" w:hAnsi="Verdana"/>
          <w:color w:val="000000" w:themeColor="text1"/>
          <w:sz w:val="28"/>
          <w:szCs w:val="28"/>
        </w:rPr>
      </w:pPr>
      <w:r w:rsidRPr="0011038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Universal Periodic Review </w:t>
      </w:r>
      <w:r w:rsidR="00DF571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47</w:t>
      </w:r>
      <w:r w:rsidRPr="0011038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 – </w:t>
      </w:r>
      <w:r w:rsidR="004E3E8B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Norway</w:t>
      </w:r>
    </w:p>
    <w:p w14:paraId="095C7B27" w14:textId="5E868951" w:rsidR="004B1E84" w:rsidRDefault="004B1E84" w:rsidP="004B1E84">
      <w:pPr>
        <w:pBdr>
          <w:bottom w:val="single" w:sz="4" w:space="1" w:color="auto"/>
        </w:pBdr>
        <w:spacing w:after="0" w:line="276" w:lineRule="auto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00110382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Statement by the Kingdom of the Netherland</w:t>
      </w:r>
      <w:r w:rsidR="00853F90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s delivered by H.E. Mr. Paul Bekkers, Permanent Representative of the Kingdom of the Netherlands</w:t>
      </w:r>
    </w:p>
    <w:p w14:paraId="6E5F2FC1" w14:textId="77777777" w:rsidR="00853F90" w:rsidRPr="00110382" w:rsidRDefault="00853F90" w:rsidP="004B1E84">
      <w:pPr>
        <w:pBdr>
          <w:bottom w:val="single" w:sz="4" w:space="1" w:color="auto"/>
        </w:pBdr>
        <w:spacing w:after="0" w:line="276" w:lineRule="auto"/>
        <w:rPr>
          <w:rFonts w:ascii="Verdana" w:eastAsia="Verdana" w:hAnsi="Verdana" w:cs="Verdana"/>
          <w:i/>
          <w:color w:val="000000" w:themeColor="text1"/>
          <w:sz w:val="28"/>
          <w:szCs w:val="28"/>
        </w:rPr>
      </w:pPr>
    </w:p>
    <w:p w14:paraId="3BED29EF" w14:textId="77777777" w:rsidR="004B1E84" w:rsidRPr="00BD3D16" w:rsidRDefault="004B1E84" w:rsidP="004B1E84">
      <w:pPr>
        <w:spacing w:after="0"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146E9A75" w14:textId="1672B6D9" w:rsidR="004B1E84" w:rsidRDefault="004B1E84" w:rsidP="004B1E84">
      <w:pPr>
        <w:spacing w:line="276" w:lineRule="auto"/>
        <w:jc w:val="both"/>
        <w:rPr>
          <w:rFonts w:ascii="Verdana" w:hAnsi="Verdana" w:cstheme="minorHAnsi"/>
          <w:color w:val="000000" w:themeColor="text1"/>
          <w:sz w:val="28"/>
          <w:szCs w:val="28"/>
          <w:lang w:val="en-GB"/>
        </w:rPr>
      </w:pPr>
      <w:r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Vice-President,</w:t>
      </w:r>
    </w:p>
    <w:p w14:paraId="30F98CBA" w14:textId="77777777" w:rsidR="00BD3D16" w:rsidRPr="00BD3D16" w:rsidRDefault="00BD3D16" w:rsidP="004B1E84">
      <w:pPr>
        <w:spacing w:line="276" w:lineRule="auto"/>
        <w:jc w:val="both"/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</w:pPr>
    </w:p>
    <w:p w14:paraId="72282BCE" w14:textId="0FF22099" w:rsidR="004B1E84" w:rsidRPr="00BD3D16" w:rsidRDefault="004B1E84" w:rsidP="004B1E84">
      <w:pPr>
        <w:spacing w:line="276" w:lineRule="auto"/>
        <w:jc w:val="both"/>
        <w:rPr>
          <w:rFonts w:ascii="Verdana" w:hAnsi="Verdana" w:cstheme="minorHAnsi"/>
          <w:sz w:val="28"/>
          <w:szCs w:val="28"/>
        </w:rPr>
      </w:pPr>
      <w:r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The Kingdom of the Netherlands thanks </w:t>
      </w:r>
      <w:r w:rsidR="00DF5712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>Norway</w:t>
      </w:r>
      <w:r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 for the presentation of its national report and </w:t>
      </w:r>
      <w:r w:rsidR="00B21CEC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the progress made since the last </w:t>
      </w:r>
      <w:r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>UPR cycle</w:t>
      </w:r>
      <w:r w:rsidRPr="00BD3D16">
        <w:rPr>
          <w:rFonts w:ascii="Verdana" w:hAnsi="Verdana" w:cstheme="minorHAnsi"/>
          <w:sz w:val="28"/>
          <w:szCs w:val="28"/>
          <w:lang w:val="en-GB"/>
        </w:rPr>
        <w:t>.</w:t>
      </w:r>
      <w:r w:rsidRPr="00BD3D16">
        <w:rPr>
          <w:rFonts w:ascii="Verdana" w:hAnsi="Verdana" w:cstheme="minorHAnsi"/>
          <w:sz w:val="28"/>
          <w:szCs w:val="28"/>
        </w:rPr>
        <w:t xml:space="preserve"> </w:t>
      </w:r>
    </w:p>
    <w:p w14:paraId="52FB0E0F" w14:textId="5551A26B" w:rsidR="00DF5712" w:rsidRPr="00BD3D16" w:rsidRDefault="00DF5712" w:rsidP="004B1E84">
      <w:pPr>
        <w:spacing w:line="276" w:lineRule="auto"/>
        <w:jc w:val="both"/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</w:pPr>
      <w:r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We commend the Norwegian Government for </w:t>
      </w:r>
      <w:r w:rsidR="00E87F1D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its efforts </w:t>
      </w:r>
      <w:r w:rsidR="00B21CEC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>in combatting sexual abuse and domestic violence with the “safety for all” action plan as well as efforts related</w:t>
      </w:r>
      <w:r w:rsidR="00E87F1D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 to the Independent Schools Act.</w:t>
      </w:r>
    </w:p>
    <w:p w14:paraId="6FCE11C3" w14:textId="5DAA835A" w:rsidR="00E87F1D" w:rsidRPr="00BD3D16" w:rsidRDefault="00B21CEC" w:rsidP="004B1E84">
      <w:pPr>
        <w:spacing w:line="276" w:lineRule="auto"/>
        <w:jc w:val="both"/>
        <w:rPr>
          <w:rFonts w:ascii="Verdana" w:hAnsi="Verdana" w:cstheme="minorHAnsi"/>
          <w:sz w:val="28"/>
          <w:szCs w:val="28"/>
          <w:lang w:val="en-GB"/>
        </w:rPr>
      </w:pPr>
      <w:r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>I</w:t>
      </w:r>
      <w:r w:rsidR="00E87F1D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>n practice</w:t>
      </w:r>
      <w:r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>, however,</w:t>
      </w:r>
      <w:r w:rsidR="00E87F1D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 barriers to establish new schools remain. </w:t>
      </w:r>
      <w:r w:rsidR="00DF16C1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>The recent addition</w:t>
      </w:r>
      <w:r w:rsidR="00E87F1D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 to the </w:t>
      </w:r>
      <w:r w:rsidR="008B518B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>Independent</w:t>
      </w:r>
      <w:r w:rsidR="00E87F1D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 Schools Act, g</w:t>
      </w:r>
      <w:r w:rsid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>ives</w:t>
      </w:r>
      <w:r w:rsidR="00E87F1D" w:rsidRPr="00BD3D16">
        <w:rPr>
          <w:rFonts w:ascii="Verdana" w:eastAsia="Verdana" w:hAnsi="Verdana" w:cstheme="minorHAnsi"/>
          <w:color w:val="000000" w:themeColor="text1"/>
          <w:sz w:val="28"/>
          <w:szCs w:val="28"/>
          <w:lang w:val="en-GB"/>
        </w:rPr>
        <w:t xml:space="preserve"> a de facto veto power to counties and municipalities. </w:t>
      </w:r>
    </w:p>
    <w:p w14:paraId="3F21037E" w14:textId="791202BA" w:rsidR="004B1E84" w:rsidRPr="00BD3D16" w:rsidRDefault="00BD3D16" w:rsidP="004B1E84">
      <w:pPr>
        <w:spacing w:line="276" w:lineRule="auto"/>
        <w:jc w:val="both"/>
        <w:rPr>
          <w:rFonts w:ascii="Verdana" w:hAnsi="Verdana" w:cstheme="minorHAnsi"/>
          <w:sz w:val="28"/>
          <w:szCs w:val="28"/>
          <w:lang w:val="en-GB"/>
        </w:rPr>
      </w:pPr>
      <w:r>
        <w:rPr>
          <w:rFonts w:ascii="Verdana" w:hAnsi="Verdana" w:cstheme="minorHAnsi"/>
          <w:color w:val="000000" w:themeColor="text1"/>
          <w:sz w:val="28"/>
          <w:szCs w:val="28"/>
        </w:rPr>
        <w:t>T</w:t>
      </w:r>
      <w:r w:rsidR="004B1E84" w:rsidRPr="00BD3D16">
        <w:rPr>
          <w:rFonts w:ascii="Verdana" w:hAnsi="Verdana" w:cstheme="minorHAnsi"/>
          <w:color w:val="000000" w:themeColor="text1"/>
          <w:sz w:val="28"/>
          <w:szCs w:val="28"/>
        </w:rPr>
        <w:t>herefore,</w:t>
      </w:r>
      <w:r>
        <w:rPr>
          <w:rFonts w:ascii="Verdana" w:hAnsi="Verdana" w:cstheme="minorHAnsi"/>
          <w:color w:val="000000" w:themeColor="text1"/>
          <w:sz w:val="28"/>
          <w:szCs w:val="28"/>
        </w:rPr>
        <w:t xml:space="preserve"> we</w:t>
      </w:r>
      <w:r w:rsidR="004B1E84" w:rsidRPr="00BD3D16">
        <w:rPr>
          <w:rFonts w:ascii="Verdana" w:hAnsi="Verdana" w:cstheme="minorHAnsi"/>
          <w:color w:val="000000" w:themeColor="text1"/>
          <w:sz w:val="28"/>
          <w:szCs w:val="28"/>
        </w:rPr>
        <w:t xml:space="preserve"> recommend </w:t>
      </w:r>
      <w:r w:rsidR="00DF5712" w:rsidRPr="00BD3D16">
        <w:rPr>
          <w:rFonts w:ascii="Verdana" w:hAnsi="Verdana" w:cstheme="minorHAnsi"/>
          <w:color w:val="000000" w:themeColor="text1"/>
          <w:sz w:val="28"/>
          <w:szCs w:val="28"/>
        </w:rPr>
        <w:t>Norway</w:t>
      </w:r>
      <w:r w:rsidR="004B1E84" w:rsidRPr="00BD3D16">
        <w:rPr>
          <w:rFonts w:ascii="Verdana" w:hAnsi="Verdana" w:cstheme="minorHAnsi"/>
          <w:color w:val="000000" w:themeColor="text1"/>
          <w:sz w:val="28"/>
          <w:szCs w:val="28"/>
        </w:rPr>
        <w:t xml:space="preserve"> to </w:t>
      </w:r>
      <w:r w:rsidR="004B1E84" w:rsidRPr="00BD3D16">
        <w:rPr>
          <w:rFonts w:ascii="Verdana" w:hAnsi="Verdana" w:cstheme="minorHAnsi"/>
          <w:sz w:val="28"/>
          <w:szCs w:val="28"/>
          <w:lang w:val="en-GB"/>
        </w:rPr>
        <w:t>:</w:t>
      </w:r>
    </w:p>
    <w:p w14:paraId="5F309225" w14:textId="078F7AE0" w:rsidR="00E87F1D" w:rsidRPr="00BD3D16" w:rsidRDefault="004B1E84" w:rsidP="004B1E84">
      <w:pPr>
        <w:widowControl w:val="0"/>
        <w:tabs>
          <w:tab w:val="left" w:pos="220"/>
          <w:tab w:val="left" w:pos="284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color w:val="000000" w:themeColor="text1"/>
          <w:sz w:val="28"/>
          <w:szCs w:val="28"/>
          <w:lang w:val="en-GB"/>
        </w:rPr>
      </w:pPr>
      <w:r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1. </w:t>
      </w:r>
      <w:r w:rsidR="00E87F1D"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Revise the Independent Schools Act to ensure the right to establish </w:t>
      </w:r>
      <w:r w:rsidR="00B21CEC"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new </w:t>
      </w:r>
      <w:r w:rsidR="00E87F1D"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schools, without </w:t>
      </w:r>
      <w:r w:rsidR="008B518B"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any obstructions</w:t>
      </w:r>
      <w:r w:rsidR="00E87F1D"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 by local authorities.</w:t>
      </w:r>
    </w:p>
    <w:p w14:paraId="685ABD40" w14:textId="4C5C92A6" w:rsidR="00D33749" w:rsidRPr="00BD3D16" w:rsidRDefault="004B1E84" w:rsidP="004B1E84">
      <w:pPr>
        <w:widowControl w:val="0"/>
        <w:tabs>
          <w:tab w:val="left" w:pos="220"/>
          <w:tab w:val="left" w:pos="284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8"/>
          <w:szCs w:val="28"/>
          <w:lang w:val="en-GB"/>
        </w:rPr>
      </w:pPr>
      <w:r w:rsidRPr="00BD3D16">
        <w:rPr>
          <w:rFonts w:ascii="Verdana" w:hAnsi="Verdana" w:cstheme="minorHAnsi"/>
          <w:sz w:val="28"/>
          <w:szCs w:val="28"/>
          <w:lang w:val="en-GB"/>
        </w:rPr>
        <w:t xml:space="preserve">2. </w:t>
      </w:r>
      <w:r w:rsidR="00B21CEC" w:rsidRPr="00BD3D16">
        <w:rPr>
          <w:rFonts w:ascii="Verdana" w:hAnsi="Verdana" w:cstheme="minorHAnsi"/>
          <w:sz w:val="28"/>
          <w:szCs w:val="28"/>
          <w:lang w:val="en-GB"/>
        </w:rPr>
        <w:t>Adopt a legal definition of rape in the Penal Code, which places the absence of consent at its centre.</w:t>
      </w:r>
    </w:p>
    <w:p w14:paraId="099DD4F5" w14:textId="77777777" w:rsidR="00DF16C1" w:rsidRDefault="00DF16C1" w:rsidP="004B1E84">
      <w:pPr>
        <w:spacing w:line="276" w:lineRule="auto"/>
        <w:jc w:val="both"/>
        <w:rPr>
          <w:rFonts w:ascii="Verdana" w:hAnsi="Verdana" w:cstheme="minorHAnsi"/>
          <w:color w:val="000000" w:themeColor="text1"/>
          <w:sz w:val="28"/>
          <w:szCs w:val="28"/>
          <w:lang w:val="en-GB"/>
        </w:rPr>
      </w:pPr>
    </w:p>
    <w:p w14:paraId="167A033B" w14:textId="717DFE9E" w:rsidR="004B1E84" w:rsidRPr="00BD3D16" w:rsidRDefault="004A6131" w:rsidP="004B1E84">
      <w:pPr>
        <w:spacing w:line="276" w:lineRule="auto"/>
        <w:jc w:val="both"/>
        <w:rPr>
          <w:rFonts w:ascii="Verdana" w:hAnsi="Verdana" w:cstheme="minorHAnsi"/>
          <w:color w:val="000000" w:themeColor="text1"/>
          <w:sz w:val="28"/>
          <w:szCs w:val="28"/>
          <w:lang w:val="en-GB"/>
        </w:rPr>
      </w:pPr>
      <w:r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We</w:t>
      </w:r>
      <w:r w:rsidR="004B1E84"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 wish </w:t>
      </w:r>
      <w:r w:rsidR="00DF5712"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Norway</w:t>
      </w:r>
      <w:r w:rsidR="004B1E84"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 xml:space="preserve"> every success with the implementation and follow-up of all recommendations. </w:t>
      </w:r>
    </w:p>
    <w:p w14:paraId="10FD9AC4" w14:textId="77777777" w:rsidR="00BD3D16" w:rsidRPr="0047526D" w:rsidRDefault="00BD3D16" w:rsidP="00DF5712">
      <w:pPr>
        <w:spacing w:line="276" w:lineRule="auto"/>
        <w:rPr>
          <w:rFonts w:ascii="Verdana" w:hAnsi="Verdana" w:cstheme="minorHAnsi"/>
          <w:color w:val="000000" w:themeColor="text1"/>
          <w:sz w:val="28"/>
          <w:szCs w:val="28"/>
        </w:rPr>
      </w:pPr>
    </w:p>
    <w:p w14:paraId="438718ED" w14:textId="2BA26B5D" w:rsidR="004B1E84" w:rsidRPr="00BD3D16" w:rsidRDefault="004B1E84" w:rsidP="00DF5712">
      <w:pPr>
        <w:spacing w:line="276" w:lineRule="auto"/>
        <w:rPr>
          <w:rFonts w:ascii="Verdana" w:hAnsi="Verdana" w:cstheme="minorHAnsi"/>
          <w:sz w:val="28"/>
          <w:szCs w:val="28"/>
        </w:rPr>
      </w:pPr>
      <w:r w:rsidRPr="00BD3D16">
        <w:rPr>
          <w:rFonts w:ascii="Verdana" w:hAnsi="Verdana" w:cstheme="minorHAnsi"/>
          <w:color w:val="000000" w:themeColor="text1"/>
          <w:sz w:val="28"/>
          <w:szCs w:val="28"/>
          <w:lang w:val="en-GB"/>
        </w:rPr>
        <w:t>Thank you.</w:t>
      </w:r>
    </w:p>
    <w:sectPr w:rsidR="004B1E84" w:rsidRPr="00BD3D16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323"/>
    <w:multiLevelType w:val="hybridMultilevel"/>
    <w:tmpl w:val="1B26DB98"/>
    <w:lvl w:ilvl="0" w:tplc="E03283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C6A99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7B010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412E0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1C6CA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3FAD7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3E4E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E605C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ACE78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CC23F63"/>
    <w:multiLevelType w:val="hybridMultilevel"/>
    <w:tmpl w:val="06A42302"/>
    <w:lvl w:ilvl="0" w:tplc="49EE82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7349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97E44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E12C4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9D445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0B4F7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294C6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364C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EAA8D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717074085">
    <w:abstractNumId w:val="0"/>
  </w:num>
  <w:num w:numId="2" w16cid:durableId="158302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84"/>
    <w:rsid w:val="000E6A94"/>
    <w:rsid w:val="000F3632"/>
    <w:rsid w:val="001C2F01"/>
    <w:rsid w:val="00251973"/>
    <w:rsid w:val="003B01F6"/>
    <w:rsid w:val="003D5FF7"/>
    <w:rsid w:val="0045023F"/>
    <w:rsid w:val="0047526D"/>
    <w:rsid w:val="004A6131"/>
    <w:rsid w:val="004B1E84"/>
    <w:rsid w:val="004E3E8B"/>
    <w:rsid w:val="005B55E0"/>
    <w:rsid w:val="00853F90"/>
    <w:rsid w:val="008B518B"/>
    <w:rsid w:val="00B21CEC"/>
    <w:rsid w:val="00BD3D16"/>
    <w:rsid w:val="00D33749"/>
    <w:rsid w:val="00DF16C1"/>
    <w:rsid w:val="00DF5712"/>
    <w:rsid w:val="00E87F1D"/>
    <w:rsid w:val="00EB23FA"/>
    <w:rsid w:val="00F255B0"/>
    <w:rsid w:val="00F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934D"/>
  <w15:chartTrackingRefBased/>
  <w15:docId w15:val="{2EAB045A-10CC-4AFE-B26D-93A60452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nl-NL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84"/>
    <w:pPr>
      <w:spacing w:line="254" w:lineRule="auto"/>
    </w:pPr>
    <w:rPr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1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E84"/>
    <w:rPr>
      <w:kern w:val="0"/>
      <w:sz w:val="20"/>
      <w:lang w:val="en-US" w:bidi="ar-SA"/>
      <w14:ligatures w14:val="none"/>
    </w:rPr>
  </w:style>
  <w:style w:type="character" w:customStyle="1" w:styleId="rynqvb">
    <w:name w:val="rynqvb"/>
    <w:basedOn w:val="DefaultParagraphFont"/>
    <w:rsid w:val="004B1E84"/>
  </w:style>
  <w:style w:type="character" w:styleId="Hyperlink">
    <w:name w:val="Hyperlink"/>
    <w:basedOn w:val="DefaultParagraphFont"/>
    <w:uiPriority w:val="99"/>
    <w:unhideWhenUsed/>
    <w:rsid w:val="004B1E8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B01F6"/>
    <w:pPr>
      <w:spacing w:after="0" w:line="240" w:lineRule="auto"/>
    </w:pPr>
    <w:rPr>
      <w:kern w:val="0"/>
      <w:szCs w:val="22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1F6"/>
    <w:rPr>
      <w:b/>
      <w:bCs/>
      <w:kern w:val="0"/>
      <w:sz w:val="20"/>
      <w:lang w:val="en-US" w:bidi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0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11371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0A566-0E51-45E0-AB02-821009033E65}"/>
</file>

<file path=customXml/itemProps2.xml><?xml version="1.0" encoding="utf-8"?>
<ds:datastoreItem xmlns:ds="http://schemas.openxmlformats.org/officeDocument/2006/customXml" ds:itemID="{ED5522E6-E6F3-4CED-9310-E1E50D8D6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152F1-FA6B-4FF2-8708-06104C26FC72}">
  <ds:schemaRefs>
    <ds:schemaRef ds:uri="http://schemas.microsoft.com/office/2006/metadata/properties"/>
    <ds:schemaRef ds:uri="http://schemas.microsoft.com/office/infopath/2007/PartnerControls"/>
    <ds:schemaRef ds:uri="ab4d5908-b6b1-48b2-9283-72a5bddb1847"/>
  </ds:schemaRefs>
</ds:datastoreItem>
</file>

<file path=customXml/itemProps4.xml><?xml version="1.0" encoding="utf-8"?>
<ds:datastoreItem xmlns:ds="http://schemas.openxmlformats.org/officeDocument/2006/customXml" ds:itemID="{2CF541ED-224A-4720-B794-61A64BAA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Netherlands (Kingdom of the)</dc:title>
  <dc:subject/>
  <dc:creator>Smit, Roeland</dc:creator>
  <cp:keywords/>
  <dc:description/>
  <cp:lastModifiedBy>Bitsch, Liliane</cp:lastModifiedBy>
  <cp:revision>2</cp:revision>
  <dcterms:created xsi:type="dcterms:W3CDTF">2024-11-04T10:20:00Z</dcterms:created>
  <dcterms:modified xsi:type="dcterms:W3CDTF">2024-11-04T10:20:00Z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4;#ONGERUBRICEERD|d92c6340-bc14-4cb2-a9a6-6deda93c493b</vt:lpwstr>
  </property>
</Properties>
</file>