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3F64" w14:textId="77777777" w:rsidR="00E54DFB" w:rsidRPr="00C86812" w:rsidRDefault="00E54DFB" w:rsidP="00E54DFB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79981771"/>
      <w:r w:rsidRPr="00C86812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>7</w:t>
      </w:r>
      <w:r w:rsidRPr="00C86812">
        <w:rPr>
          <w:rFonts w:ascii="Arial" w:hAnsi="Arial" w:cs="Arial"/>
          <w:b/>
          <w:bCs/>
          <w:sz w:val="26"/>
          <w:szCs w:val="26"/>
        </w:rPr>
        <w:t>ª sesión del Grupo de Trabajo de Examen Periódico Universal (EPU)</w:t>
      </w:r>
    </w:p>
    <w:p w14:paraId="6483D843" w14:textId="77777777" w:rsidR="00E54DFB" w:rsidRPr="00C86812" w:rsidRDefault="00E54DFB" w:rsidP="00E54DFB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 al 15 de noviembre</w:t>
      </w:r>
      <w:r w:rsidRPr="00C86812">
        <w:rPr>
          <w:rFonts w:ascii="Arial" w:hAnsi="Arial" w:cs="Arial"/>
          <w:b/>
          <w:bCs/>
          <w:sz w:val="26"/>
          <w:szCs w:val="26"/>
        </w:rPr>
        <w:t xml:space="preserve"> de 2024</w:t>
      </w:r>
    </w:p>
    <w:p w14:paraId="310C62C6" w14:textId="77777777" w:rsidR="00E54DFB" w:rsidRPr="00C86812" w:rsidRDefault="00E54DFB" w:rsidP="00E54DFB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6"/>
          <w:szCs w:val="26"/>
        </w:rPr>
      </w:pPr>
    </w:p>
    <w:p w14:paraId="43361701" w14:textId="77777777" w:rsidR="00E54DFB" w:rsidRPr="00C86812" w:rsidRDefault="00E54DFB" w:rsidP="00E54DFB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Intervención de la delegación de Colombia</w:t>
      </w:r>
    </w:p>
    <w:p w14:paraId="0D1D495F" w14:textId="77777777" w:rsidR="00E54DFB" w:rsidRPr="00C86812" w:rsidRDefault="00E54DFB" w:rsidP="00E54DF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5BF57654" w14:textId="476369FE" w:rsidR="00E54DFB" w:rsidRDefault="00E54DFB" w:rsidP="00E54DF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86812">
        <w:rPr>
          <w:rFonts w:ascii="Arial" w:hAnsi="Arial" w:cs="Arial"/>
          <w:sz w:val="28"/>
          <w:szCs w:val="28"/>
        </w:rPr>
        <w:t xml:space="preserve">Colombia da la bienvenida a la distinguida delegación de </w:t>
      </w:r>
      <w:r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oruega</w:t>
      </w:r>
      <w:r w:rsidRPr="00C86812">
        <w:rPr>
          <w:rFonts w:ascii="Arial" w:hAnsi="Arial" w:cs="Arial"/>
          <w:sz w:val="28"/>
          <w:szCs w:val="28"/>
        </w:rPr>
        <w:t xml:space="preserve"> con ocasión del 4º ciclo de Examen Periódico Universal, en el cual le desea los mayores éxitos.</w:t>
      </w:r>
      <w:r w:rsidR="007E5409">
        <w:rPr>
          <w:rFonts w:ascii="Arial" w:hAnsi="Arial" w:cs="Arial"/>
          <w:sz w:val="28"/>
          <w:szCs w:val="28"/>
        </w:rPr>
        <w:t xml:space="preserve"> </w:t>
      </w:r>
      <w:r w:rsidR="00F4183D">
        <w:rPr>
          <w:rFonts w:ascii="Arial" w:hAnsi="Arial" w:cs="Arial"/>
          <w:sz w:val="28"/>
          <w:szCs w:val="28"/>
        </w:rPr>
        <w:t>Colombia celebra los avances de Noruega desde el último ciclo del EPU y, con ánimo constructivo, recomienda:</w:t>
      </w:r>
    </w:p>
    <w:p w14:paraId="32848B90" w14:textId="77777777" w:rsidR="00E54DFB" w:rsidRDefault="00E54DFB" w:rsidP="00E54DF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5D92F42" w14:textId="12AF752E" w:rsidR="00732059" w:rsidRDefault="00F4183D" w:rsidP="00BC5B87">
      <w:pPr>
        <w:pStyle w:val="Prrafodelista"/>
        <w:numPr>
          <w:ilvl w:val="0"/>
          <w:numId w:val="1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bookmarkStart w:id="1" w:name="_Hlk179974888"/>
      <w:r>
        <w:rPr>
          <w:rFonts w:ascii="Arial" w:hAnsi="Arial" w:cs="Arial"/>
          <w:sz w:val="28"/>
          <w:szCs w:val="28"/>
        </w:rPr>
        <w:t xml:space="preserve">Modifique la legislación penal </w:t>
      </w:r>
      <w:r w:rsidRPr="00F4183D">
        <w:rPr>
          <w:rFonts w:ascii="Arial" w:hAnsi="Arial" w:cs="Arial"/>
          <w:sz w:val="28"/>
          <w:szCs w:val="28"/>
        </w:rPr>
        <w:t>para garantizar que la definición de violación se centre en la falta de libre consentimiento</w:t>
      </w:r>
      <w:r>
        <w:rPr>
          <w:rFonts w:ascii="Arial" w:hAnsi="Arial" w:cs="Arial"/>
          <w:sz w:val="28"/>
          <w:szCs w:val="28"/>
        </w:rPr>
        <w:t xml:space="preserve"> y no en la existencia de violencia</w:t>
      </w:r>
      <w:r w:rsidRPr="00F4183D">
        <w:rPr>
          <w:rFonts w:ascii="Arial" w:hAnsi="Arial" w:cs="Arial"/>
          <w:sz w:val="28"/>
          <w:szCs w:val="28"/>
        </w:rPr>
        <w:t>, de conformidad con las normas internacionales y las obligaciones contraídas en virtud del Convenio de Estambul</w:t>
      </w:r>
      <w:r>
        <w:rPr>
          <w:rFonts w:ascii="Arial" w:hAnsi="Arial" w:cs="Arial"/>
          <w:sz w:val="28"/>
          <w:szCs w:val="28"/>
        </w:rPr>
        <w:t>.</w:t>
      </w:r>
      <w:bookmarkEnd w:id="1"/>
    </w:p>
    <w:p w14:paraId="5B5EA72B" w14:textId="77777777" w:rsidR="00BC5B87" w:rsidRPr="00BC5B87" w:rsidRDefault="00BC5B87" w:rsidP="00BC5B87">
      <w:pPr>
        <w:pStyle w:val="Prrafodelista"/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3674E94" w14:textId="64AA415D" w:rsidR="007E5409" w:rsidRDefault="00732059" w:rsidP="007E5409">
      <w:pPr>
        <w:pStyle w:val="Prrafodelista"/>
        <w:numPr>
          <w:ilvl w:val="0"/>
          <w:numId w:val="1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Revisar y, de ser el caso ajustar, las normas sobre la capacidad jurídica de personas con discapacidad </w:t>
      </w:r>
      <w:r w:rsidR="00BC5B87">
        <w:rPr>
          <w:rFonts w:ascii="Arial" w:hAnsi="Arial" w:cs="Arial"/>
          <w:sz w:val="28"/>
          <w:szCs w:val="28"/>
        </w:rPr>
        <w:t xml:space="preserve">para garantizar que ninguna persona sea privada de su capacidad jurídica </w:t>
      </w:r>
      <w:r w:rsidR="006029B8">
        <w:rPr>
          <w:rFonts w:ascii="Arial" w:hAnsi="Arial" w:cs="Arial"/>
          <w:sz w:val="28"/>
          <w:szCs w:val="28"/>
        </w:rPr>
        <w:t>debido a</w:t>
      </w:r>
      <w:r w:rsidR="00BC5B87">
        <w:rPr>
          <w:rFonts w:ascii="Arial" w:hAnsi="Arial" w:cs="Arial"/>
          <w:sz w:val="28"/>
          <w:szCs w:val="28"/>
        </w:rPr>
        <w:t xml:space="preserve"> una discapacidad. </w:t>
      </w:r>
    </w:p>
    <w:p w14:paraId="2D3E4734" w14:textId="77777777" w:rsidR="007E5409" w:rsidRPr="007E5409" w:rsidRDefault="007E5409" w:rsidP="007E5409">
      <w:pPr>
        <w:pStyle w:val="Prrafodelista"/>
        <w:rPr>
          <w:rFonts w:ascii="Arial" w:hAnsi="Arial" w:cs="Arial"/>
          <w:sz w:val="28"/>
          <w:szCs w:val="28"/>
        </w:rPr>
      </w:pPr>
    </w:p>
    <w:p w14:paraId="5ADA28A5" w14:textId="4B4F9F1C" w:rsidR="007E5409" w:rsidRDefault="007E5409" w:rsidP="007E5409">
      <w:pPr>
        <w:pStyle w:val="Prrafodelista"/>
        <w:numPr>
          <w:ilvl w:val="0"/>
          <w:numId w:val="1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7E5409">
        <w:rPr>
          <w:rFonts w:ascii="Arial" w:hAnsi="Arial" w:cs="Arial"/>
          <w:sz w:val="28"/>
          <w:szCs w:val="28"/>
        </w:rPr>
        <w:t>Garanti</w:t>
      </w:r>
      <w:r w:rsidR="003D1519">
        <w:rPr>
          <w:rFonts w:ascii="Arial" w:hAnsi="Arial" w:cs="Arial"/>
          <w:sz w:val="28"/>
          <w:szCs w:val="28"/>
        </w:rPr>
        <w:t>zar</w:t>
      </w:r>
      <w:r w:rsidRPr="007E5409">
        <w:rPr>
          <w:rFonts w:ascii="Arial" w:hAnsi="Arial" w:cs="Arial"/>
          <w:sz w:val="28"/>
          <w:szCs w:val="28"/>
        </w:rPr>
        <w:t xml:space="preserve"> el principio de non-refoulement en el trámite de las solicitudes de asilo y refugio y reintroduzca el criterio de razonabilidad en relación con la aplicación de la alternativa de huida interna.</w:t>
      </w:r>
    </w:p>
    <w:p w14:paraId="56D46A76" w14:textId="77777777" w:rsidR="007E5409" w:rsidRPr="007E5409" w:rsidRDefault="007E5409" w:rsidP="007E5409">
      <w:pPr>
        <w:pStyle w:val="Prrafodelista"/>
        <w:rPr>
          <w:rFonts w:ascii="Arial" w:hAnsi="Arial" w:cs="Arial"/>
          <w:sz w:val="28"/>
          <w:szCs w:val="28"/>
        </w:rPr>
      </w:pPr>
    </w:p>
    <w:p w14:paraId="49225F8B" w14:textId="4C3956B3" w:rsidR="007E5409" w:rsidRDefault="007E5409" w:rsidP="007E5409">
      <w:pPr>
        <w:pStyle w:val="Prrafodelista"/>
        <w:numPr>
          <w:ilvl w:val="0"/>
          <w:numId w:val="1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7E5409">
        <w:rPr>
          <w:rFonts w:ascii="Arial" w:hAnsi="Arial" w:cs="Arial"/>
          <w:sz w:val="28"/>
          <w:szCs w:val="28"/>
        </w:rPr>
        <w:t>Evalué mecanismos jurídicos, legislativos o normativo para la construcción de un procedimiento para la determinación de la condición de apatridia, de conformidad con lo establecido en la Convención sobre el estatuto de los apátridas.</w:t>
      </w:r>
    </w:p>
    <w:p w14:paraId="32E180FC" w14:textId="77777777" w:rsidR="007E5409" w:rsidRPr="007E5409" w:rsidRDefault="007E5409" w:rsidP="007E540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3EF02E31" w14:textId="42EB3473" w:rsidR="000067B3" w:rsidRDefault="00E54DFB" w:rsidP="007E5409">
      <w:pPr>
        <w:tabs>
          <w:tab w:val="left" w:pos="8789"/>
        </w:tabs>
        <w:spacing w:after="0"/>
        <w:ind w:right="49"/>
        <w:jc w:val="both"/>
      </w:pPr>
      <w:r w:rsidRPr="00CE424F">
        <w:rPr>
          <w:rFonts w:ascii="Arial" w:hAnsi="Arial" w:cs="Arial"/>
          <w:sz w:val="28"/>
          <w:szCs w:val="28"/>
        </w:rPr>
        <w:t>Gracias.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Tiempo (1 min.)</w:t>
      </w:r>
      <w:bookmarkEnd w:id="0"/>
    </w:p>
    <w:sectPr w:rsidR="000067B3" w:rsidSect="00E54DFB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A52C" w14:textId="77777777" w:rsidR="003D1519" w:rsidRDefault="003D1519" w:rsidP="00956862">
    <w:pPr>
      <w:pStyle w:val="Piedepgina"/>
      <w:rPr>
        <w:rFonts w:ascii="Futura Std Book" w:hAnsi="Futura Std Book"/>
        <w:b/>
        <w:color w:val="808080"/>
        <w:sz w:val="20"/>
        <w:szCs w:val="20"/>
      </w:rPr>
    </w:pPr>
  </w:p>
  <w:p w14:paraId="69C556AF" w14:textId="77777777" w:rsidR="003D1519" w:rsidRPr="00956862" w:rsidRDefault="003D1519" w:rsidP="00956862">
    <w:pPr>
      <w:pStyle w:val="Piedepgina"/>
      <w:rPr>
        <w:rFonts w:ascii="Futura Std Book" w:hAnsi="Futura Std Book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982F" w14:textId="77777777" w:rsidR="003D1519" w:rsidRDefault="003D1519" w:rsidP="00F84299">
    <w:pPr>
      <w:pStyle w:val="Piedepgina"/>
      <w:ind w:left="-1701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4C70A" w14:textId="77777777" w:rsidR="003D1519" w:rsidRPr="00F84299" w:rsidRDefault="003D1519">
    <w:pPr>
      <w:pStyle w:val="Encabezado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0DD4ADB1" w14:textId="77777777" w:rsidR="003D1519" w:rsidRPr="00F84299" w:rsidRDefault="003D1519">
    <w:pPr>
      <w:pStyle w:val="Encabezado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</w:r>
    <w:r w:rsidRPr="00A4572F">
      <w:rPr>
        <w:rFonts w:ascii="Futura Std Book" w:hAnsi="Futura Std Book"/>
        <w:color w:val="808080"/>
        <w:sz w:val="18"/>
      </w:rPr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>PAGE   \* MERGEFORMAT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  <w:lang w:val="es-ES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E941" w14:textId="77777777" w:rsidR="003D1519" w:rsidRPr="003A7D5F" w:rsidRDefault="003D1519" w:rsidP="003A7D5F">
    <w:pPr>
      <w:pStyle w:val="Ttulo"/>
      <w:jc w:val="center"/>
      <w:rPr>
        <w:lang w:val="es-MX"/>
      </w:rPr>
    </w:pPr>
    <w:r w:rsidRPr="00F437C0">
      <w:rPr>
        <w:noProof/>
      </w:rPr>
      <w:drawing>
        <wp:inline distT="0" distB="0" distL="0" distR="0" wp14:anchorId="78E285D3" wp14:editId="2534F82C">
          <wp:extent cx="3005374" cy="1049516"/>
          <wp:effectExtent l="0" t="0" r="0" b="0"/>
          <wp:docPr id="2091611858" name="Image 1" descr="Une image contenant texte, logo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85737" name="Image 1" descr="Une image contenant texte, logo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706" cy="106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D2AF7"/>
    <w:multiLevelType w:val="hybridMultilevel"/>
    <w:tmpl w:val="472275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42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FB"/>
    <w:rsid w:val="000067B3"/>
    <w:rsid w:val="00022BAF"/>
    <w:rsid w:val="000820F5"/>
    <w:rsid w:val="003D1519"/>
    <w:rsid w:val="004800D0"/>
    <w:rsid w:val="005B1494"/>
    <w:rsid w:val="006029B8"/>
    <w:rsid w:val="00732059"/>
    <w:rsid w:val="007E5409"/>
    <w:rsid w:val="00BC5B87"/>
    <w:rsid w:val="00E54DFB"/>
    <w:rsid w:val="00F4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D59F"/>
  <w15:chartTrackingRefBased/>
  <w15:docId w15:val="{639B451D-D586-4A06-BE04-D763EFBA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F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4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4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4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4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4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4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4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4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4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4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4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4D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4D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4D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4D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4D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4D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4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4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4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4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4D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4D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4D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4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4D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4DF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E54D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4DFB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rsid w:val="00E54D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DFB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C86155F-5CEB-4936-BE44-DE1EF51EE5D8}"/>
</file>

<file path=customXml/itemProps2.xml><?xml version="1.0" encoding="utf-8"?>
<ds:datastoreItem xmlns:ds="http://schemas.openxmlformats.org/officeDocument/2006/customXml" ds:itemID="{27A6AABF-BA91-4268-BAC7-95B892A03109}"/>
</file>

<file path=customXml/itemProps3.xml><?xml version="1.0" encoding="utf-8"?>
<ds:datastoreItem xmlns:ds="http://schemas.openxmlformats.org/officeDocument/2006/customXml" ds:itemID="{A922C51C-D53B-48E2-A19F-6FF934672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subject/>
  <dc:creator>CAROLINA SOLANO GUTIERREZ</dc:creator>
  <cp:keywords/>
  <dc:description/>
  <cp:lastModifiedBy>CAROLINA SOLANO GUTIERREZ</cp:lastModifiedBy>
  <cp:revision>5</cp:revision>
  <dcterms:created xsi:type="dcterms:W3CDTF">2024-10-16T10:34:00Z</dcterms:created>
  <dcterms:modified xsi:type="dcterms:W3CDTF">2024-10-17T14:31:00Z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