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 w14:paraId="033E30DA" w14:textId="77777777">
        <w:trPr>
          <w:trHeight w:val="1526"/>
        </w:trPr>
        <w:tc>
          <w:tcPr>
            <w:tcW w:w="5113" w:type="dxa"/>
            <w:shd w:val="clear" w:color="auto" w:fill="FFFFFF"/>
          </w:tcPr>
          <w:p w14:paraId="17813183" w14:textId="77777777"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52552476" w14:textId="77777777"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2764B3B6" w14:textId="01205837" w:rsidR="00953920" w:rsidRDefault="00821726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val="en" w:bidi="ar-EG"/>
              </w:rPr>
              <w:drawing>
                <wp:inline distT="0" distB="0" distL="0" distR="0" wp14:anchorId="1583A39B" wp14:editId="1F20937D">
                  <wp:extent cx="444500" cy="62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14:paraId="5D4F15B9" w14:textId="77777777"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3E01346C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Mission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14:paraId="4F44E162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14:paraId="208757C0" w14:textId="77777777"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14:paraId="03E4D558" w14:textId="26FC56D5" w:rsidR="00BB0A01" w:rsidRDefault="00BB0A01" w:rsidP="00BB0A01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694B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الفريق العامل المعني بالاستعراض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- الدورة 4</w:t>
      </w:r>
      <w:r w:rsidR="00963BC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7</w:t>
      </w:r>
    </w:p>
    <w:p w14:paraId="7CD942A5" w14:textId="13923BC3" w:rsidR="00BB0A01" w:rsidRPr="00D5510F" w:rsidRDefault="00533697" w:rsidP="00BB0A0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val="en-GB" w:bidi="ar-EG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جلسة 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C663D2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لجمهورية </w:t>
      </w:r>
      <w:r w:rsidR="00FC0A6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ساحل العاج</w:t>
      </w:r>
    </w:p>
    <w:p w14:paraId="35DEB52F" w14:textId="74A9CB20" w:rsidR="00533697" w:rsidRPr="009A389F" w:rsidRDefault="00A849C8" w:rsidP="007C5CDE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5</w:t>
      </w:r>
      <w:r w:rsidR="00BB5E4C" w:rsidRPr="009A38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نوفمبر</w:t>
      </w:r>
      <w:r w:rsidR="00BB0A01" w:rsidRPr="009A389F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2024</w:t>
      </w:r>
    </w:p>
    <w:p w14:paraId="275D1814" w14:textId="3741AA76" w:rsidR="00533697" w:rsidRPr="00A849C8" w:rsidRDefault="00533697" w:rsidP="00A849C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04942B89" w14:textId="77777777" w:rsidR="00472231" w:rsidRPr="00472231" w:rsidRDefault="00472231" w:rsidP="00472231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</w:pPr>
      <w:r w:rsidRPr="00472231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شكرا سيدي الرئيس،</w:t>
      </w:r>
    </w:p>
    <w:p w14:paraId="20CB23E3" w14:textId="77777777" w:rsidR="009136ED" w:rsidRDefault="00D233F5" w:rsidP="009136ED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ab/>
        <w:t xml:space="preserve">يرحب وفد مصر بالوفد رفيع المستوى لجمهورية ساحل العاج ونشكره على العرض الذى قدمه خلال الجلسة.  </w:t>
      </w:r>
    </w:p>
    <w:p w14:paraId="0F3C67FE" w14:textId="40EF6DCB" w:rsidR="00D233F5" w:rsidRPr="00D233F5" w:rsidRDefault="009136ED" w:rsidP="009136ED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   يثمن وفد مصر 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الجهود </w:t>
      </w:r>
      <w:r w:rsidR="00300B96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التي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بذلت </w:t>
      </w:r>
      <w:r w:rsidR="00300B9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تنفيذ التوصيات </w:t>
      </w:r>
      <w:r w:rsidR="00300B96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التي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قبلتها الدولة </w:t>
      </w:r>
      <w:r w:rsidR="00300B96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في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إطار </w:t>
      </w:r>
      <w:r w:rsidR="009D269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الدورة الثالثة من 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عملية المراجعة. ونشيد </w:t>
      </w:r>
      <w:r w:rsidR="009D269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</w:t>
      </w:r>
      <w:r w:rsidR="00D233F5"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جهود مواءمة التشريعات الوطنية مع الالتزامات الدولية</w:t>
      </w:r>
      <w:r w:rsidR="009D269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في مجال حقوق الإنسان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وكذا </w:t>
      </w:r>
      <w:r w:rsidR="0050477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الجهود التي اتخذتها الدولة لوضع خطة عمل وطنية </w:t>
      </w:r>
      <w:r w:rsidR="00C11B4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لحقوق الإنسان وتجديد اللجنة المشتركة </w:t>
      </w:r>
      <w:r w:rsidR="00DC434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بين الوزارات المعنية بمتابعة تطبيق الصكوك الدولية ذات </w:t>
      </w:r>
      <w:r w:rsidR="00367ED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الصلة،</w:t>
      </w:r>
      <w:r w:rsidR="005161AA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إلى جانب إطلاق مجموعة من البرامج الوطنية </w:t>
      </w:r>
      <w:r w:rsidR="00EA433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لتعزيز وحماية حقوق الإنسان في المجالات المختلفة وبخاصة </w:t>
      </w:r>
      <w:r w:rsidR="0049307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في مجالات التنمية والضمان الاجتماعي وحماية الطفل والمساواة بين الجنسين</w:t>
      </w:r>
      <w:r w:rsidR="00ED19B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.</w:t>
      </w:r>
    </w:p>
    <w:p w14:paraId="593099C5" w14:textId="77777777" w:rsidR="004B0F50" w:rsidRDefault="00D233F5" w:rsidP="00367EDF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 w:rsidR="00367ED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في إطار الحوار البناء، </w:t>
      </w:r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نود أن نتقدم بالتوصي</w:t>
      </w:r>
      <w:r w:rsidR="0049307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ات</w:t>
      </w:r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التالي</w:t>
      </w:r>
      <w:r w:rsidR="00493077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ة</w:t>
      </w:r>
      <w:r w:rsidR="004B0F5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:</w:t>
      </w:r>
    </w:p>
    <w:p w14:paraId="1EE1205C" w14:textId="494AE499" w:rsidR="001224CB" w:rsidRPr="004B0F50" w:rsidRDefault="00D233F5" w:rsidP="004B0F50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before="240" w:after="200" w:line="360" w:lineRule="exact"/>
        <w:ind w:right="-36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SG" w:bidi="ar-EG"/>
        </w:rPr>
      </w:pPr>
      <w:r w:rsidRPr="004B0F5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مواصلة جهود تنفيذ الخطة الوطنية للتنمية بمحاورها الخمس للنهوض </w:t>
      </w:r>
      <w:r w:rsidR="001224CB" w:rsidRPr="004B0F5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بأوضاع</w:t>
      </w:r>
      <w:r w:rsidRPr="004B0F50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حقوق الانسان.</w:t>
      </w:r>
    </w:p>
    <w:p w14:paraId="218AE6CE" w14:textId="09445E45" w:rsidR="00D233F5" w:rsidRPr="001224CB" w:rsidRDefault="00D233F5" w:rsidP="001224C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before="240" w:after="200" w:line="360" w:lineRule="exact"/>
        <w:ind w:right="-36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SG" w:bidi="ar-EG"/>
        </w:rPr>
      </w:pPr>
      <w:r w:rsidRPr="001224CB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مواصلة الجهود الخاصة بحماية حقوق الأشخاص ذوى الإعاقة وتعزيزها.</w:t>
      </w:r>
    </w:p>
    <w:p w14:paraId="38C5F0A1" w14:textId="7B27674A" w:rsidR="001224CB" w:rsidRPr="001224CB" w:rsidRDefault="00072470" w:rsidP="001224CB">
      <w:pPr>
        <w:pStyle w:val="ListParagraph"/>
        <w:numPr>
          <w:ilvl w:val="0"/>
          <w:numId w:val="6"/>
        </w:numPr>
        <w:autoSpaceDE w:val="0"/>
        <w:autoSpaceDN w:val="0"/>
        <w:bidi/>
        <w:adjustRightInd w:val="0"/>
        <w:spacing w:before="240" w:after="200" w:line="360" w:lineRule="exact"/>
        <w:ind w:right="-360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val="en-SG"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val="en-SG" w:bidi="ar-EG"/>
        </w:rPr>
        <w:t>دفع الجهود الرامية لحماية حقوق العمال المهاجرين وأفراد أسرهم.</w:t>
      </w:r>
    </w:p>
    <w:p w14:paraId="68C54360" w14:textId="121504E9" w:rsidR="00D233F5" w:rsidRPr="00D233F5" w:rsidRDefault="00D233F5" w:rsidP="00D233F5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proofErr w:type="spellStart"/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وختاما</w:t>
      </w:r>
      <w:r w:rsidR="00367EDF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،</w:t>
      </w:r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ً</w:t>
      </w:r>
      <w:proofErr w:type="spellEnd"/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proofErr w:type="spellStart"/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نتمني</w:t>
      </w:r>
      <w:proofErr w:type="spellEnd"/>
      <w:r w:rsidRPr="00D233F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لجمهورية ساحل العاج كل التوفيق خلال الجلسة. </w:t>
      </w:r>
    </w:p>
    <w:p w14:paraId="32C0A613" w14:textId="68B5C213" w:rsidR="00EE70FB" w:rsidRPr="00472231" w:rsidRDefault="00EE70FB" w:rsidP="00EE70FB">
      <w:pPr>
        <w:autoSpaceDE w:val="0"/>
        <w:autoSpaceDN w:val="0"/>
        <w:bidi/>
        <w:adjustRightInd w:val="0"/>
        <w:spacing w:before="240"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شكراً السيد الرئيس.</w:t>
      </w:r>
    </w:p>
    <w:p w14:paraId="09441FC6" w14:textId="77777777" w:rsidR="00533697" w:rsidRDefault="00533697" w:rsidP="0053369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  <w:rPr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5C40CD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0C9E35DA"/>
    <w:multiLevelType w:val="hybridMultilevel"/>
    <w:tmpl w:val="5980F7C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7BFB22F4"/>
    <w:multiLevelType w:val="hybridMultilevel"/>
    <w:tmpl w:val="579ED084"/>
    <w:lvl w:ilvl="0" w:tplc="2000000F">
      <w:start w:val="1"/>
      <w:numFmt w:val="decimal"/>
      <w:lvlText w:val="%1."/>
      <w:lvlJc w:val="left"/>
      <w:pPr>
        <w:ind w:left="320" w:hanging="360"/>
      </w:pPr>
    </w:lvl>
    <w:lvl w:ilvl="1" w:tplc="20000019" w:tentative="1">
      <w:start w:val="1"/>
      <w:numFmt w:val="lowerLetter"/>
      <w:lvlText w:val="%2."/>
      <w:lvlJc w:val="left"/>
      <w:pPr>
        <w:ind w:left="1040" w:hanging="360"/>
      </w:pPr>
    </w:lvl>
    <w:lvl w:ilvl="2" w:tplc="2000001B" w:tentative="1">
      <w:start w:val="1"/>
      <w:numFmt w:val="lowerRoman"/>
      <w:lvlText w:val="%3."/>
      <w:lvlJc w:val="right"/>
      <w:pPr>
        <w:ind w:left="1760" w:hanging="180"/>
      </w:pPr>
    </w:lvl>
    <w:lvl w:ilvl="3" w:tplc="2000000F" w:tentative="1">
      <w:start w:val="1"/>
      <w:numFmt w:val="decimal"/>
      <w:lvlText w:val="%4."/>
      <w:lvlJc w:val="left"/>
      <w:pPr>
        <w:ind w:left="2480" w:hanging="360"/>
      </w:pPr>
    </w:lvl>
    <w:lvl w:ilvl="4" w:tplc="20000019" w:tentative="1">
      <w:start w:val="1"/>
      <w:numFmt w:val="lowerLetter"/>
      <w:lvlText w:val="%5."/>
      <w:lvlJc w:val="left"/>
      <w:pPr>
        <w:ind w:left="3200" w:hanging="360"/>
      </w:pPr>
    </w:lvl>
    <w:lvl w:ilvl="5" w:tplc="2000001B" w:tentative="1">
      <w:start w:val="1"/>
      <w:numFmt w:val="lowerRoman"/>
      <w:lvlText w:val="%6."/>
      <w:lvlJc w:val="right"/>
      <w:pPr>
        <w:ind w:left="3920" w:hanging="180"/>
      </w:pPr>
    </w:lvl>
    <w:lvl w:ilvl="6" w:tplc="2000000F" w:tentative="1">
      <w:start w:val="1"/>
      <w:numFmt w:val="decimal"/>
      <w:lvlText w:val="%7."/>
      <w:lvlJc w:val="left"/>
      <w:pPr>
        <w:ind w:left="4640" w:hanging="360"/>
      </w:pPr>
    </w:lvl>
    <w:lvl w:ilvl="7" w:tplc="20000019" w:tentative="1">
      <w:start w:val="1"/>
      <w:numFmt w:val="lowerLetter"/>
      <w:lvlText w:val="%8."/>
      <w:lvlJc w:val="left"/>
      <w:pPr>
        <w:ind w:left="5360" w:hanging="360"/>
      </w:pPr>
    </w:lvl>
    <w:lvl w:ilvl="8" w:tplc="2000001B" w:tentative="1">
      <w:start w:val="1"/>
      <w:numFmt w:val="lowerRoman"/>
      <w:lvlText w:val="%9."/>
      <w:lvlJc w:val="right"/>
      <w:pPr>
        <w:ind w:left="6080" w:hanging="180"/>
      </w:pPr>
    </w:lvl>
  </w:abstractNum>
  <w:num w:numId="1" w16cid:durableId="143714026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 w16cid:durableId="111155790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 w16cid:durableId="1868248967">
    <w:abstractNumId w:val="3"/>
  </w:num>
  <w:num w:numId="4" w16cid:durableId="403841542">
    <w:abstractNumId w:val="4"/>
  </w:num>
  <w:num w:numId="5" w16cid:durableId="968320109">
    <w:abstractNumId w:val="2"/>
  </w:num>
  <w:num w:numId="6" w16cid:durableId="209355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97"/>
    <w:rsid w:val="0003228B"/>
    <w:rsid w:val="00036005"/>
    <w:rsid w:val="00050005"/>
    <w:rsid w:val="00072470"/>
    <w:rsid w:val="000736A9"/>
    <w:rsid w:val="000C3587"/>
    <w:rsid w:val="0010698B"/>
    <w:rsid w:val="001224CB"/>
    <w:rsid w:val="00126FA2"/>
    <w:rsid w:val="0014025D"/>
    <w:rsid w:val="001431F3"/>
    <w:rsid w:val="00144BE9"/>
    <w:rsid w:val="00151941"/>
    <w:rsid w:val="00157D9C"/>
    <w:rsid w:val="00180018"/>
    <w:rsid w:val="00193BBB"/>
    <w:rsid w:val="001A7270"/>
    <w:rsid w:val="001B7803"/>
    <w:rsid w:val="001F0CC5"/>
    <w:rsid w:val="001F5094"/>
    <w:rsid w:val="0020543F"/>
    <w:rsid w:val="00210868"/>
    <w:rsid w:val="0023131B"/>
    <w:rsid w:val="00280C85"/>
    <w:rsid w:val="002C22B6"/>
    <w:rsid w:val="00300B96"/>
    <w:rsid w:val="00314BCE"/>
    <w:rsid w:val="00327B7D"/>
    <w:rsid w:val="00333640"/>
    <w:rsid w:val="00343099"/>
    <w:rsid w:val="00356DD8"/>
    <w:rsid w:val="003657B9"/>
    <w:rsid w:val="00367EDF"/>
    <w:rsid w:val="003828C4"/>
    <w:rsid w:val="00382F1A"/>
    <w:rsid w:val="003D3E2B"/>
    <w:rsid w:val="003E473E"/>
    <w:rsid w:val="003F637C"/>
    <w:rsid w:val="00435724"/>
    <w:rsid w:val="00472231"/>
    <w:rsid w:val="00481C0C"/>
    <w:rsid w:val="00493077"/>
    <w:rsid w:val="004B0F50"/>
    <w:rsid w:val="004B4F1D"/>
    <w:rsid w:val="00504778"/>
    <w:rsid w:val="005161AA"/>
    <w:rsid w:val="00533697"/>
    <w:rsid w:val="00541669"/>
    <w:rsid w:val="00546ACC"/>
    <w:rsid w:val="0055408F"/>
    <w:rsid w:val="0056230F"/>
    <w:rsid w:val="00583A2A"/>
    <w:rsid w:val="005A7CE6"/>
    <w:rsid w:val="005C40CD"/>
    <w:rsid w:val="005D231D"/>
    <w:rsid w:val="006076DD"/>
    <w:rsid w:val="0061566D"/>
    <w:rsid w:val="00622CBD"/>
    <w:rsid w:val="00641150"/>
    <w:rsid w:val="00656786"/>
    <w:rsid w:val="00662E73"/>
    <w:rsid w:val="0068090F"/>
    <w:rsid w:val="00693571"/>
    <w:rsid w:val="006B3451"/>
    <w:rsid w:val="006B4B54"/>
    <w:rsid w:val="006D3A50"/>
    <w:rsid w:val="006E0397"/>
    <w:rsid w:val="006F528C"/>
    <w:rsid w:val="00711763"/>
    <w:rsid w:val="00712C28"/>
    <w:rsid w:val="0079098E"/>
    <w:rsid w:val="007A7F7E"/>
    <w:rsid w:val="007C5CDE"/>
    <w:rsid w:val="007E0226"/>
    <w:rsid w:val="00820D75"/>
    <w:rsid w:val="00821726"/>
    <w:rsid w:val="00822172"/>
    <w:rsid w:val="00834EE6"/>
    <w:rsid w:val="008402A6"/>
    <w:rsid w:val="00846A77"/>
    <w:rsid w:val="00875A7E"/>
    <w:rsid w:val="00886BB9"/>
    <w:rsid w:val="0089591A"/>
    <w:rsid w:val="008B7CE9"/>
    <w:rsid w:val="008E6B9D"/>
    <w:rsid w:val="008F6BF5"/>
    <w:rsid w:val="009136ED"/>
    <w:rsid w:val="00934325"/>
    <w:rsid w:val="00953920"/>
    <w:rsid w:val="00963BC3"/>
    <w:rsid w:val="009A0A4B"/>
    <w:rsid w:val="009A389F"/>
    <w:rsid w:val="009B4A57"/>
    <w:rsid w:val="009C125C"/>
    <w:rsid w:val="009C2F98"/>
    <w:rsid w:val="009D2697"/>
    <w:rsid w:val="009D7D5A"/>
    <w:rsid w:val="009F135C"/>
    <w:rsid w:val="009F5B4B"/>
    <w:rsid w:val="009F67CF"/>
    <w:rsid w:val="00A15F6C"/>
    <w:rsid w:val="00A502E5"/>
    <w:rsid w:val="00A56CD9"/>
    <w:rsid w:val="00A849C8"/>
    <w:rsid w:val="00A8528C"/>
    <w:rsid w:val="00A857C2"/>
    <w:rsid w:val="00B41652"/>
    <w:rsid w:val="00B439C7"/>
    <w:rsid w:val="00B54C5C"/>
    <w:rsid w:val="00B5533C"/>
    <w:rsid w:val="00B85B6D"/>
    <w:rsid w:val="00B90276"/>
    <w:rsid w:val="00B91569"/>
    <w:rsid w:val="00BB0A01"/>
    <w:rsid w:val="00BB5E4C"/>
    <w:rsid w:val="00BD30FF"/>
    <w:rsid w:val="00BE2840"/>
    <w:rsid w:val="00C11B47"/>
    <w:rsid w:val="00C27DFF"/>
    <w:rsid w:val="00C44781"/>
    <w:rsid w:val="00C50603"/>
    <w:rsid w:val="00C663D2"/>
    <w:rsid w:val="00C74DAB"/>
    <w:rsid w:val="00C82605"/>
    <w:rsid w:val="00C878A7"/>
    <w:rsid w:val="00CE76BA"/>
    <w:rsid w:val="00D233F5"/>
    <w:rsid w:val="00D256F5"/>
    <w:rsid w:val="00D5510F"/>
    <w:rsid w:val="00D74B50"/>
    <w:rsid w:val="00D82FDF"/>
    <w:rsid w:val="00D960EF"/>
    <w:rsid w:val="00DA55E0"/>
    <w:rsid w:val="00DC434B"/>
    <w:rsid w:val="00DF6935"/>
    <w:rsid w:val="00E01237"/>
    <w:rsid w:val="00E067C4"/>
    <w:rsid w:val="00E4789F"/>
    <w:rsid w:val="00E50542"/>
    <w:rsid w:val="00E93738"/>
    <w:rsid w:val="00EA4338"/>
    <w:rsid w:val="00EB1131"/>
    <w:rsid w:val="00EC054E"/>
    <w:rsid w:val="00ED19B7"/>
    <w:rsid w:val="00EE390F"/>
    <w:rsid w:val="00EE61BB"/>
    <w:rsid w:val="00EE70FB"/>
    <w:rsid w:val="00F03C68"/>
    <w:rsid w:val="00F07276"/>
    <w:rsid w:val="00F163E8"/>
    <w:rsid w:val="00F23C01"/>
    <w:rsid w:val="00F24F67"/>
    <w:rsid w:val="00FC0A61"/>
    <w:rsid w:val="00FC38E3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91DAAF4"/>
  <w15:chartTrackingRefBased/>
  <w15:docId w15:val="{FFD50194-5982-41BB-9EF9-E80A677E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H" w:eastAsia="en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6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11487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A30D7-634D-4FDA-A6F5-4EC1AD21C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C09A25-2AA2-4539-8EBE-29A11DBC7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569DC3-4102-4081-A609-EBEF73AE9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subject/>
  <dc:creator>ch</dc:creator>
  <cp:keywords/>
  <cp:lastModifiedBy>Noran ATTEYA</cp:lastModifiedBy>
  <cp:revision>23</cp:revision>
  <cp:lastPrinted>2019-01-18T14:40:00Z</cp:lastPrinted>
  <dcterms:created xsi:type="dcterms:W3CDTF">2024-10-29T09:10:00Z</dcterms:created>
  <dcterms:modified xsi:type="dcterms:W3CDTF">2024-11-04T18:55:00Z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