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F8D75" w14:textId="77777777" w:rsidR="00867831" w:rsidRDefault="00FE0402" w:rsidP="00AA2A5D">
      <w:pPr>
        <w:spacing w:after="0" w:line="360" w:lineRule="auto"/>
        <w:rPr>
          <w:b/>
        </w:rPr>
      </w:pPr>
    </w:p>
    <w:p w14:paraId="64D29426" w14:textId="77777777" w:rsidR="00482E7A" w:rsidRPr="006612D8" w:rsidRDefault="00012CB8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7D8A5D0D" w14:textId="77777777" w:rsidR="00482E7A" w:rsidRPr="006612D8" w:rsidRDefault="00FE0402" w:rsidP="00482E7A">
      <w:pPr>
        <w:spacing w:after="0" w:line="360" w:lineRule="auto"/>
        <w:jc w:val="right"/>
        <w:rPr>
          <w:b/>
          <w:i/>
          <w:lang w:val="en-US"/>
        </w:rPr>
      </w:pPr>
    </w:p>
    <w:p w14:paraId="4020C777" w14:textId="77777777" w:rsidR="00482E7A" w:rsidRPr="006612D8" w:rsidRDefault="00012CB8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AC2994">
        <w:rPr>
          <w:b/>
          <w:sz w:val="32"/>
          <w:szCs w:val="32"/>
          <w:lang w:val="en-US"/>
        </w:rPr>
        <w:t>Costa Rica</w:t>
      </w:r>
    </w:p>
    <w:p w14:paraId="4490F0EE" w14:textId="77777777" w:rsidR="00482E7A" w:rsidRPr="006612D8" w:rsidRDefault="00AC2994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11 November 2024</w:t>
      </w:r>
    </w:p>
    <w:p w14:paraId="0777A5FE" w14:textId="77777777" w:rsidR="00482E7A" w:rsidRPr="006612D8" w:rsidRDefault="00FE0402" w:rsidP="00482E7A">
      <w:pPr>
        <w:spacing w:after="0" w:line="360" w:lineRule="auto"/>
        <w:jc w:val="center"/>
        <w:rPr>
          <w:lang w:val="en-US"/>
        </w:rPr>
      </w:pPr>
    </w:p>
    <w:p w14:paraId="1427B859" w14:textId="77777777" w:rsidR="00482E7A" w:rsidRPr="00841A6C" w:rsidRDefault="00012CB8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 xml:space="preserve">Intervention by </w:t>
      </w:r>
      <w:r>
        <w:rPr>
          <w:b/>
          <w:lang w:val="en-US"/>
        </w:rPr>
        <w:t>H.E. Ambassador Frank Büchel</w:t>
      </w:r>
    </w:p>
    <w:p w14:paraId="52D7F537" w14:textId="410350D5" w:rsidR="00482E7A" w:rsidRPr="00702DF6" w:rsidRDefault="00012CB8" w:rsidP="00482E7A">
      <w:pPr>
        <w:spacing w:after="0" w:line="360" w:lineRule="auto"/>
        <w:jc w:val="center"/>
        <w:rPr>
          <w:b/>
        </w:rPr>
      </w:pPr>
      <w:r w:rsidRPr="00702DF6">
        <w:rPr>
          <w:b/>
        </w:rPr>
        <w:t xml:space="preserve">Permanent </w:t>
      </w:r>
      <w:proofErr w:type="spellStart"/>
      <w:r w:rsidRPr="00702DF6">
        <w:rPr>
          <w:b/>
        </w:rPr>
        <w:t>Representative</w:t>
      </w:r>
      <w:proofErr w:type="spellEnd"/>
      <w:r w:rsidRPr="00702DF6">
        <w:rPr>
          <w:b/>
        </w:rPr>
        <w:t xml:space="preserve"> of Liechtenstein</w:t>
      </w:r>
    </w:p>
    <w:p w14:paraId="3740C735" w14:textId="4B270F33" w:rsidR="008F3E11" w:rsidRPr="00702DF6" w:rsidRDefault="008F3E11" w:rsidP="00482E7A">
      <w:pPr>
        <w:spacing w:after="0" w:line="360" w:lineRule="auto"/>
        <w:jc w:val="center"/>
        <w:rPr>
          <w:b/>
        </w:rPr>
      </w:pPr>
    </w:p>
    <w:p w14:paraId="347EF44A" w14:textId="712E530B" w:rsidR="008F3E11" w:rsidRPr="00702DF6" w:rsidRDefault="008F3E11" w:rsidP="00482E7A">
      <w:pPr>
        <w:spacing w:after="0" w:line="360" w:lineRule="auto"/>
        <w:jc w:val="center"/>
        <w:rPr>
          <w:b/>
        </w:rPr>
      </w:pPr>
      <w:r w:rsidRPr="00702DF6">
        <w:rPr>
          <w:b/>
        </w:rPr>
        <w:t>Redeplatz: 53 / Redezeit: 1 Minute 15 Sekunden</w:t>
      </w:r>
    </w:p>
    <w:p w14:paraId="41E71260" w14:textId="77777777" w:rsidR="00482E7A" w:rsidRPr="00702DF6" w:rsidRDefault="00FE0402" w:rsidP="00482E7A">
      <w:pPr>
        <w:pBdr>
          <w:bottom w:val="single" w:sz="4" w:space="1" w:color="auto"/>
        </w:pBdr>
        <w:spacing w:after="0" w:line="360" w:lineRule="auto"/>
        <w:jc w:val="left"/>
      </w:pPr>
    </w:p>
    <w:p w14:paraId="58B8CD15" w14:textId="77777777" w:rsidR="0024171A" w:rsidRPr="00702DF6" w:rsidRDefault="00FE0402" w:rsidP="00482E7A">
      <w:pPr>
        <w:spacing w:after="0" w:line="360" w:lineRule="auto"/>
        <w:jc w:val="left"/>
      </w:pPr>
    </w:p>
    <w:p w14:paraId="44A08129" w14:textId="2C02D718" w:rsidR="00482E7A" w:rsidRDefault="00012CB8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 xml:space="preserve">Liechtenstein welcomes the distinguished delegation </w:t>
      </w:r>
      <w:r w:rsidR="00ED3C95">
        <w:rPr>
          <w:lang w:val="en-US"/>
        </w:rPr>
        <w:t>of Costa Rica</w:t>
      </w:r>
      <w:r>
        <w:rPr>
          <w:lang w:val="en-US"/>
        </w:rPr>
        <w:t xml:space="preserve"> and wishes to thank for the information provided in the introductory statement and in the national report</w:t>
      </w:r>
      <w:r w:rsidR="008F3E11">
        <w:rPr>
          <w:lang w:val="en-US"/>
        </w:rPr>
        <w:t xml:space="preserve"> as well as for its principled commitment to human rights and a rules-based international order.</w:t>
      </w:r>
    </w:p>
    <w:p w14:paraId="5C87D643" w14:textId="77777777" w:rsidR="008866DB" w:rsidRDefault="00FE0402" w:rsidP="00482E7A">
      <w:pPr>
        <w:spacing w:after="0" w:line="360" w:lineRule="auto"/>
        <w:jc w:val="left"/>
        <w:rPr>
          <w:lang w:val="en-US"/>
        </w:rPr>
      </w:pPr>
    </w:p>
    <w:p w14:paraId="6233B668" w14:textId="77777777" w:rsidR="00482E7A" w:rsidRPr="00482E7A" w:rsidRDefault="00012CB8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33653B">
        <w:rPr>
          <w:lang w:val="en-US"/>
        </w:rPr>
        <w:t xml:space="preserve">Costa </w:t>
      </w:r>
      <w:r w:rsidR="00ED3C95">
        <w:rPr>
          <w:lang w:val="en-US"/>
        </w:rPr>
        <w:t>Rica</w:t>
      </w:r>
    </w:p>
    <w:p w14:paraId="74E9AD76" w14:textId="77777777" w:rsidR="0024171A" w:rsidRDefault="00FE0402" w:rsidP="00482E7A">
      <w:pPr>
        <w:spacing w:after="0" w:line="360" w:lineRule="auto"/>
        <w:jc w:val="left"/>
        <w:rPr>
          <w:lang w:val="en-US"/>
        </w:rPr>
      </w:pPr>
    </w:p>
    <w:p w14:paraId="43B08778" w14:textId="6E095269" w:rsidR="0013510E" w:rsidRDefault="00012CB8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1. </w:t>
      </w:r>
      <w:r w:rsidR="008F3E11">
        <w:rPr>
          <w:lang w:val="en-US"/>
        </w:rPr>
        <w:t xml:space="preserve">Raise the minimum age of criminal responsibility and ensure the full application of juvenile justice standards. </w:t>
      </w:r>
    </w:p>
    <w:p w14:paraId="76AB806D" w14:textId="75029C4F" w:rsidR="008F3E11" w:rsidRDefault="008F3E11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2. Allocate sufficient resources to the implementation of the national policy against human trafficking, strengthen early identification and referral of women and girls who were victims of trafficking to appropriate services.</w:t>
      </w:r>
    </w:p>
    <w:p w14:paraId="00337E2F" w14:textId="2E3212B9" w:rsidR="008F3E11" w:rsidRDefault="008F3E11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3. Adopt legislation to stop child sex tourism throughout the country.</w:t>
      </w:r>
    </w:p>
    <w:p w14:paraId="6649ED52" w14:textId="282C396F" w:rsidR="0013510E" w:rsidRDefault="008F3E11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4. Further strengthen the protection of human rights defenders, in particular women environmental human rights defenders, as well as media and journalists from threats, hate speech and violent messages.</w:t>
      </w:r>
      <w:bookmarkStart w:id="0" w:name="_GoBack"/>
      <w:bookmarkEnd w:id="0"/>
    </w:p>
    <w:p w14:paraId="2FB933C0" w14:textId="77777777" w:rsidR="005279B9" w:rsidRDefault="00FE0402" w:rsidP="00D17C04">
      <w:pPr>
        <w:spacing w:after="0" w:line="360" w:lineRule="auto"/>
        <w:jc w:val="left"/>
        <w:rPr>
          <w:lang w:val="en-US"/>
        </w:rPr>
      </w:pPr>
    </w:p>
    <w:p w14:paraId="6F031D98" w14:textId="2DC28F3F" w:rsidR="00D12094" w:rsidRPr="00482E7A" w:rsidRDefault="00012CB8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We </w:t>
      </w:r>
      <w:r w:rsidR="00557921">
        <w:rPr>
          <w:lang w:val="en-US"/>
        </w:rPr>
        <w:t xml:space="preserve">wish you a successful UPR. I </w:t>
      </w:r>
      <w:r>
        <w:rPr>
          <w:lang w:val="en-US"/>
        </w:rPr>
        <w:t>thank you.</w:t>
      </w:r>
    </w:p>
    <w:sectPr w:rsidR="00D12094" w:rsidRPr="00482E7A" w:rsidSect="00506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38B91" w14:textId="77777777" w:rsidR="00FE0402" w:rsidRDefault="00FE0402">
      <w:pPr>
        <w:spacing w:after="0"/>
      </w:pPr>
      <w:r>
        <w:separator/>
      </w:r>
    </w:p>
  </w:endnote>
  <w:endnote w:type="continuationSeparator" w:id="0">
    <w:p w14:paraId="00ACBBB7" w14:textId="77777777" w:rsidR="00FE0402" w:rsidRDefault="00FE04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102D2" w14:textId="77777777" w:rsidR="00841A6C" w:rsidRDefault="00FE04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B41DD" w14:textId="77777777" w:rsidR="00506A00" w:rsidRPr="00482E7A" w:rsidRDefault="00012CB8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3AFA67B8" w14:textId="77777777" w:rsidR="00506A00" w:rsidRPr="00506A00" w:rsidRDefault="00FE0402">
    <w:pPr>
      <w:pStyle w:val="Fuzeile"/>
      <w:rPr>
        <w:lang w:val="fr-CH"/>
      </w:rPr>
    </w:pPr>
  </w:p>
  <w:p w14:paraId="3369CCAB" w14:textId="77777777" w:rsidR="00506A00" w:rsidRPr="00506A00" w:rsidRDefault="00FE0402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199C" w14:textId="77777777" w:rsidR="00BC4509" w:rsidRPr="008F3E11" w:rsidRDefault="00012CB8" w:rsidP="003F075A">
    <w:pPr>
      <w:pStyle w:val="Fuzeile"/>
      <w:tabs>
        <w:tab w:val="right" w:pos="9918"/>
      </w:tabs>
      <w:jc w:val="center"/>
      <w:rPr>
        <w:lang w:val="it-IT"/>
      </w:rPr>
    </w:pPr>
    <w:bookmarkStart w:id="1" w:name="MetaTool_Script6"/>
    <w:r w:rsidRPr="008F3E11">
      <w:rPr>
        <w:lang w:val="it-IT"/>
      </w:rPr>
      <w:t>35-37, av. Giuseppe-Motta I Case postale 158 I 1211 Genève 20 I Suisse I T +41 22 734 29 00 I F +41 22 734 29 51 I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D63C2" w14:textId="77777777" w:rsidR="00FE0402" w:rsidRDefault="00FE0402">
      <w:pPr>
        <w:spacing w:after="0"/>
      </w:pPr>
      <w:r>
        <w:separator/>
      </w:r>
    </w:p>
  </w:footnote>
  <w:footnote w:type="continuationSeparator" w:id="0">
    <w:p w14:paraId="2DD5A657" w14:textId="77777777" w:rsidR="00FE0402" w:rsidRDefault="00FE04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3EB1" w14:textId="77777777" w:rsidR="00841A6C" w:rsidRDefault="00FE04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3282F" w14:textId="77777777" w:rsidR="00BC4509" w:rsidRDefault="00012CB8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FE0402">
      <w:fldChar w:fldCharType="begin"/>
    </w:r>
    <w:r w:rsidR="00FE0402">
      <w:instrText xml:space="preserve"> NUMPAGES </w:instrText>
    </w:r>
    <w:r w:rsidR="00FE0402">
      <w:fldChar w:fldCharType="separate"/>
    </w:r>
    <w:r>
      <w:rPr>
        <w:noProof/>
      </w:rPr>
      <w:t>1</w:t>
    </w:r>
    <w:r w:rsidR="00FE040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A02E23" w:rsidRPr="00702DF6" w14:paraId="5E9666CF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5C4D4A59" w14:textId="77777777" w:rsidR="00AA2A5D" w:rsidRDefault="00012CB8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09C24A27" wp14:editId="7DA35E48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1C2A1C5D" w14:textId="77777777" w:rsidR="00AA2A5D" w:rsidRDefault="00012CB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168EE212" w14:textId="77777777" w:rsidR="00AA2A5D" w:rsidRDefault="00012CB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02838E8E" w14:textId="77777777" w:rsidR="00AA2A5D" w:rsidRDefault="00FE0402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0C00920A" w14:textId="77777777" w:rsidR="00AA2A5D" w:rsidRDefault="00012CB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0CEF42CF" w14:textId="77777777" w:rsidR="00AA2A5D" w:rsidRDefault="00012CB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51E2BA02" w14:textId="77777777" w:rsidR="00AA2A5D" w:rsidRDefault="00FE0402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0206BFDE" w14:textId="77777777" w:rsidR="00AA2A5D" w:rsidRDefault="00012CB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57FB4BC3" w14:textId="77777777" w:rsidR="00CD302A" w:rsidRPr="00482E7A" w:rsidRDefault="00012CB8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4AF3046A" w14:textId="77777777" w:rsidR="00BC4509" w:rsidRPr="00482E7A" w:rsidRDefault="00FE0402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54862B88">
      <w:start w:val="1"/>
      <w:numFmt w:val="decimal"/>
      <w:lvlText w:val="%1)"/>
      <w:lvlJc w:val="left"/>
      <w:pPr>
        <w:ind w:left="720" w:hanging="360"/>
      </w:pPr>
    </w:lvl>
    <w:lvl w:ilvl="1" w:tplc="5952F682">
      <w:start w:val="1"/>
      <w:numFmt w:val="lowerLetter"/>
      <w:lvlText w:val="%2."/>
      <w:lvlJc w:val="left"/>
      <w:pPr>
        <w:ind w:left="1440" w:hanging="360"/>
      </w:pPr>
    </w:lvl>
    <w:lvl w:ilvl="2" w:tplc="87E0379A">
      <w:start w:val="1"/>
      <w:numFmt w:val="lowerRoman"/>
      <w:lvlText w:val="%3."/>
      <w:lvlJc w:val="right"/>
      <w:pPr>
        <w:ind w:left="2160" w:hanging="180"/>
      </w:pPr>
    </w:lvl>
    <w:lvl w:ilvl="3" w:tplc="7D163D16">
      <w:start w:val="1"/>
      <w:numFmt w:val="decimal"/>
      <w:lvlText w:val="%4."/>
      <w:lvlJc w:val="left"/>
      <w:pPr>
        <w:ind w:left="2880" w:hanging="360"/>
      </w:pPr>
    </w:lvl>
    <w:lvl w:ilvl="4" w:tplc="EAAEC6F0">
      <w:start w:val="1"/>
      <w:numFmt w:val="lowerLetter"/>
      <w:lvlText w:val="%5."/>
      <w:lvlJc w:val="left"/>
      <w:pPr>
        <w:ind w:left="3600" w:hanging="360"/>
      </w:pPr>
    </w:lvl>
    <w:lvl w:ilvl="5" w:tplc="8164428E">
      <w:start w:val="1"/>
      <w:numFmt w:val="lowerRoman"/>
      <w:lvlText w:val="%6."/>
      <w:lvlJc w:val="right"/>
      <w:pPr>
        <w:ind w:left="4320" w:hanging="180"/>
      </w:pPr>
    </w:lvl>
    <w:lvl w:ilvl="6" w:tplc="98AA6144">
      <w:start w:val="1"/>
      <w:numFmt w:val="decimal"/>
      <w:lvlText w:val="%7."/>
      <w:lvlJc w:val="left"/>
      <w:pPr>
        <w:ind w:left="5040" w:hanging="360"/>
      </w:pPr>
    </w:lvl>
    <w:lvl w:ilvl="7" w:tplc="00484864">
      <w:start w:val="1"/>
      <w:numFmt w:val="lowerLetter"/>
      <w:lvlText w:val="%8."/>
      <w:lvlJc w:val="left"/>
      <w:pPr>
        <w:ind w:left="5760" w:hanging="360"/>
      </w:pPr>
    </w:lvl>
    <w:lvl w:ilvl="8" w:tplc="9E3607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3E9EB1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BBB0E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283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81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AAF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A7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E9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2C3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45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B22A9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29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AA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CC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88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CA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0CC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68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A02E23"/>
    <w:rsid w:val="00012CB8"/>
    <w:rsid w:val="00064908"/>
    <w:rsid w:val="00193D87"/>
    <w:rsid w:val="001F3DC4"/>
    <w:rsid w:val="002730C9"/>
    <w:rsid w:val="0033653B"/>
    <w:rsid w:val="00557921"/>
    <w:rsid w:val="005B3196"/>
    <w:rsid w:val="00702DF6"/>
    <w:rsid w:val="00744B5B"/>
    <w:rsid w:val="008860FF"/>
    <w:rsid w:val="008F3E11"/>
    <w:rsid w:val="009B5BDD"/>
    <w:rsid w:val="00A02E23"/>
    <w:rsid w:val="00A422DD"/>
    <w:rsid w:val="00AC2994"/>
    <w:rsid w:val="00BC006A"/>
    <w:rsid w:val="00C8126B"/>
    <w:rsid w:val="00DF2C3F"/>
    <w:rsid w:val="00E9754D"/>
    <w:rsid w:val="00ED3C95"/>
    <w:rsid w:val="00F45F3A"/>
    <w:rsid w:val="00F80D7F"/>
    <w:rsid w:val="00F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D0A8EA"/>
  <w15:docId w15:val="{2AD27D12-C059-4263-B076-A7AC7805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4A03D80-1ADB-4FAF-AB52-6A3AC76FD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31D0E-1220-4563-B3F3-FF6634A0A31E}"/>
</file>

<file path=customXml/itemProps3.xml><?xml version="1.0" encoding="utf-8"?>
<ds:datastoreItem xmlns:ds="http://schemas.openxmlformats.org/officeDocument/2006/customXml" ds:itemID="{A95D166B-6A9B-49B8-807B-ACF5A024F3C9}"/>
</file>

<file path=customXml/itemProps4.xml><?xml version="1.0" encoding="utf-8"?>
<ds:datastoreItem xmlns:ds="http://schemas.openxmlformats.org/officeDocument/2006/customXml" ds:itemID="{E1E8D895-24EB-477A-83FA-1A5EDFC93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Liechtenstein</dc:title>
  <dc:creator>Jäggi Monique</dc:creator>
  <cp:lastModifiedBy>Batliner Daniel</cp:lastModifiedBy>
  <cp:revision>10</cp:revision>
  <cp:lastPrinted>2020-11-12T10:34:00Z</cp:lastPrinted>
  <dcterms:created xsi:type="dcterms:W3CDTF">2020-11-12T10:35:00Z</dcterms:created>
  <dcterms:modified xsi:type="dcterms:W3CDTF">2024-11-11T08:23:00Z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