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936549" cy="109802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36549" cy="1098023"/>
                    </a:xfrm>
                    <a:prstGeom prst="rect">
                      <a:avLst/>
                    </a:prstGeom>
                    <a:ln w="12700" cap="flat">
                      <a:noFill/>
                      <a:miter lim="400000"/>
                    </a:ln>
                    <a:effectLst/>
                  </pic:spPr>
                </pic:pic>
              </a:graphicData>
            </a:graphic>
          </wp:inline>
        </w:drawing>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Statement by</w:t>
      </w:r>
      <w: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br w:type="textWrapping"/>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Permanent Mission of The Bahamas to the United Nations Office and other International Organizations in Geneva</w:t>
      </w: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at the 46</w:t>
      </w:r>
      <w:r>
        <w:rPr>
          <w:rFonts w:ascii="Arial Narrow" w:hAnsi="Arial Narrow"/>
          <w:b w:val="1"/>
          <w:bCs w:val="1"/>
          <w:caps w:val="0"/>
          <w:smallCaps w:val="0"/>
          <w:strike w:val="0"/>
          <w:dstrike w:val="0"/>
          <w:outline w:val="0"/>
          <w:color w:val="000000"/>
          <w:u w:val="none" w:color="000000"/>
          <w:shd w:val="nil" w:color="auto" w:fill="auto"/>
          <w:vertAlign w:val="superscript"/>
          <w:rtl w:val="0"/>
          <w:lang w:val="en-US"/>
          <w14:textFill>
            <w14:solidFill>
              <w14:srgbClr w14:val="000000"/>
            </w14:solidFill>
          </w14:textFill>
        </w:rPr>
        <w:t>th</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Session of the Universal Periodic Review Working Group</w:t>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Presentation of UPR Report by Vietnam </w:t>
      </w:r>
      <w:r>
        <w:rPr>
          <w:rFonts w:ascii="Arial Narrow" w:hAnsi="Arial Narrow"/>
          <w:b w:val="1"/>
          <w:bCs w:val="1"/>
          <w:rtl w:val="0"/>
          <w:lang w:val="en-US"/>
        </w:rPr>
        <w:t>7</w:t>
      </w: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May 2024</w:t>
      </w:r>
    </w:p>
    <w:p>
      <w:pPr>
        <w:pStyle w:val="Body A"/>
        <w:spacing w:line="276"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r>
        <w:rPr>
          <w:rFonts w:ascii="Arial Narrow" w:hAnsi="Arial Narrow"/>
          <w:sz w:val="26"/>
          <w:szCs w:val="26"/>
          <w:rtl w:val="0"/>
          <w:lang w:val="en-US"/>
        </w:rPr>
        <w:t>Thank you, Mr. President,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r>
        <w:rPr>
          <w:rFonts w:ascii="Arial Narrow" w:hAnsi="Arial Narrow"/>
          <w:sz w:val="26"/>
          <w:szCs w:val="26"/>
          <w:rtl w:val="0"/>
          <w:lang w:val="en-US"/>
        </w:rPr>
        <w:t>The Bahamas thanks Vietnam for its comprehensive report and acknowledges the commendable progress made since the 3rd cycle of the UPR.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r>
        <w:rPr>
          <w:rFonts w:ascii="Arial Narrow" w:hAnsi="Arial Narrow"/>
          <w:sz w:val="26"/>
          <w:szCs w:val="26"/>
          <w:rtl w:val="0"/>
          <w:lang w:val="en-US"/>
        </w:rPr>
        <w:t>We commend Vietnam for its legislative reforms and policy advancements that have significantly contributed to human rights protections. The adoption of 45 new laws since 2019, aimed at aligning the domestic legal framework with international human rights standards, demonstrates a firm commitment to improving the socio-economic conditions of its people.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r>
        <w:rPr>
          <w:rFonts w:ascii="Arial Narrow" w:hAnsi="Arial Narrow"/>
          <w:sz w:val="26"/>
          <w:szCs w:val="26"/>
          <w:rtl w:val="0"/>
          <w:lang w:val="en-US"/>
        </w:rPr>
        <w:t>In a spirit of constructive dialogue, The Bahamas recommends that Vietnam: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p>
    <w:p>
      <w:pPr>
        <w:pStyle w:val="Default"/>
        <w:numPr>
          <w:ilvl w:val="0"/>
          <w:numId w:val="2"/>
        </w:numPr>
        <w:bidi w:val="0"/>
        <w:spacing w:before="0" w:line="240" w:lineRule="auto"/>
        <w:ind w:right="0"/>
        <w:jc w:val="left"/>
        <w:rPr>
          <w:sz w:val="26"/>
          <w:szCs w:val="26"/>
          <w:rtl w:val="0"/>
          <w:lang w:val="en-US"/>
        </w:rPr>
      </w:pPr>
      <w:r>
        <w:rPr>
          <w:rFonts w:ascii="Arial Narrow" w:hAnsi="Arial Narrow"/>
          <w:sz w:val="26"/>
          <w:szCs w:val="26"/>
          <w:rtl w:val="0"/>
          <w:lang w:val="en-US"/>
        </w:rPr>
        <w:t>Build on efforts in environmental protection and climate change mitigation,</w:t>
      </w:r>
    </w:p>
    <w:p>
      <w:pPr>
        <w:pStyle w:val="Default"/>
        <w:numPr>
          <w:ilvl w:val="0"/>
          <w:numId w:val="2"/>
        </w:numPr>
        <w:bidi w:val="0"/>
        <w:spacing w:before="0" w:line="240" w:lineRule="auto"/>
        <w:ind w:right="0"/>
        <w:jc w:val="left"/>
        <w:rPr>
          <w:sz w:val="26"/>
          <w:szCs w:val="26"/>
          <w:rtl w:val="0"/>
          <w:lang w:val="en-US"/>
        </w:rPr>
      </w:pPr>
      <w:r>
        <w:rPr>
          <w:rFonts w:ascii="Arial Narrow" w:hAnsi="Arial Narrow"/>
          <w:sz w:val="26"/>
          <w:szCs w:val="26"/>
          <w:rtl w:val="0"/>
          <w:lang w:val="en-US"/>
        </w:rPr>
        <w:t>Continue to promote women's participation in STEM fields and support women entrepreneurs, especially in rural areas.</w:t>
      </w:r>
    </w:p>
    <w:p>
      <w:pPr>
        <w:pStyle w:val="Default"/>
        <w:numPr>
          <w:ilvl w:val="0"/>
          <w:numId w:val="2"/>
        </w:numPr>
        <w:bidi w:val="0"/>
        <w:spacing w:before="0" w:line="240" w:lineRule="auto"/>
        <w:ind w:right="0"/>
        <w:jc w:val="left"/>
        <w:rPr>
          <w:sz w:val="26"/>
          <w:szCs w:val="26"/>
          <w:rtl w:val="0"/>
          <w:lang w:val="en-US"/>
        </w:rPr>
      </w:pPr>
      <w:r>
        <w:rPr>
          <w:rFonts w:ascii="Arial Narrow" w:hAnsi="Arial Narrow"/>
          <w:sz w:val="26"/>
          <w:szCs w:val="26"/>
          <w:rtl w:val="0"/>
          <w:lang w:val="en-US"/>
        </w:rPr>
        <w:t>Expand programs that facilitate youth engagement in civic activities and decision-making processes.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r>
        <w:rPr>
          <w:rFonts w:ascii="Arial Narrow" w:hAnsi="Arial Narrow"/>
          <w:sz w:val="26"/>
          <w:szCs w:val="26"/>
          <w:rtl w:val="0"/>
          <w:lang w:val="en-US"/>
        </w:rPr>
        <w:t>We extend our best wishes to Vietnam for a successful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6"/>
          <w:szCs w:val="26"/>
        </w:rPr>
      </w:pPr>
      <w:r>
        <w:rPr>
          <w:rFonts w:ascii="Arial Narrow" w:hAnsi="Arial Narrow"/>
          <w:sz w:val="26"/>
          <w:szCs w:val="26"/>
          <w:rtl w:val="0"/>
          <w:lang w:val="en-US"/>
        </w:rPr>
        <w:t>I thank you.</w:t>
      </w:r>
    </w:p>
    <w:p>
      <w:pPr>
        <w:pStyle w:val="Default"/>
        <w:spacing w:before="0" w:line="515" w:lineRule="atLeast"/>
        <w:jc w:val="both"/>
        <w:rPr>
          <w:rFonts w:ascii="Times Roman" w:cs="Times Roman" w:hAnsi="Times Roman" w:eastAsia="Times Roman"/>
        </w:rPr>
      </w:pPr>
    </w:p>
    <w:p>
      <w:pPr>
        <w:pStyle w:val="Body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pPr>
      <w:r>
        <w:rPr>
          <w:rFonts w:ascii="Arial Narrow" w:cs="Arial Narrow" w:hAnsi="Arial Narrow" w:eastAsia="Arial Narrow"/>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513"/>
        <w:tab w:val="right" w:pos="9000"/>
      </w:tabs>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Speaking time allotted: 50 seconds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5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74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505" w:hanging="1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10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28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4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64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82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200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4374</DocId>
    <Category xmlns="328c4b46-73db-4dea-b856-05d9d8a86ba6" xsi:nil="true"/>
  </documentManagement>
</p:properties>
</file>

<file path=customXml/itemProps1.xml><?xml version="1.0" encoding="utf-8"?>
<ds:datastoreItem xmlns:ds="http://schemas.openxmlformats.org/officeDocument/2006/customXml" ds:itemID="{DCB68C5C-66CE-419E-8C86-BA61965A11A7}"/>
</file>

<file path=customXml/itemProps2.xml><?xml version="1.0" encoding="utf-8"?>
<ds:datastoreItem xmlns:ds="http://schemas.openxmlformats.org/officeDocument/2006/customXml" ds:itemID="{7947818B-747B-48B8-86A9-27D0227D8B11}"/>
</file>

<file path=customXml/itemProps3.xml><?xml version="1.0" encoding="utf-8"?>
<ds:datastoreItem xmlns:ds="http://schemas.openxmlformats.org/officeDocument/2006/customXml" ds:itemID="{0AE7F27F-B7AA-47CA-A4CB-28A72DD55E6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