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0D5887D1" w14:textId="77777777" w:rsidTr="0044288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0A407218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6565CC39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CE0001" w14:paraId="1BBF2FCA" w14:textId="77777777" w:rsidTr="0044288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185F1FFD" w14:textId="135F0C7D" w:rsidR="0029166A" w:rsidRPr="000301ED" w:rsidRDefault="009606DC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171A67C4" wp14:editId="348CA9E9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145AF631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00A38202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4A1DFA04" w14:textId="77777777" w:rsidTr="00442887">
        <w:trPr>
          <w:gridAfter w:val="2"/>
          <w:wAfter w:w="113" w:type="dxa"/>
        </w:trPr>
        <w:tc>
          <w:tcPr>
            <w:tcW w:w="2420" w:type="dxa"/>
          </w:tcPr>
          <w:p w14:paraId="1099208B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4F62ADF3" w14:textId="033DB285" w:rsidR="005A0322" w:rsidRDefault="005A0322" w:rsidP="005A032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Forty-</w:t>
            </w:r>
            <w:r w:rsidR="00AA2125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sixth</w:t>
            </w: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Geneva, 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A212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A2125">
              <w:rPr>
                <w:rFonts w:ascii="Times New Roman" w:hAnsi="Times New Roman"/>
                <w:sz w:val="24"/>
                <w:szCs w:val="24"/>
                <w:lang w:val="en-US"/>
              </w:rPr>
              <w:t>April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="00AA2125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A21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May </w:t>
            </w:r>
            <w:r w:rsidR="00775AA6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  <w:p w14:paraId="7E414D1C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2A383A3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CE0001" w14:paraId="60269026" w14:textId="77777777" w:rsidTr="0044288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7B0D4178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46958683" w14:textId="2338F8AF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5A0322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71563B69" w14:textId="60C8C2F4" w:rsidR="0029166A" w:rsidRPr="00687BA8" w:rsidRDefault="00F6726E" w:rsidP="00B90F5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Friday</w:t>
            </w:r>
            <w:r w:rsidR="009F53DC">
              <w:rPr>
                <w:rFonts w:ascii="Times New Roman" w:hAnsi="Times New Roman"/>
                <w:b/>
                <w:color w:val="FFFFFF"/>
                <w:lang w:val="en-US"/>
              </w:rPr>
              <w:t xml:space="preserve">, </w:t>
            </w:r>
            <w:r w:rsidR="00AA2125">
              <w:rPr>
                <w:rFonts w:ascii="Times New Roman" w:hAnsi="Times New Roman"/>
                <w:b/>
                <w:color w:val="FFFFFF"/>
                <w:lang w:val="en-US"/>
              </w:rPr>
              <w:t>10</w:t>
            </w:r>
            <w:r w:rsidR="00775AA6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AA2125">
              <w:rPr>
                <w:rFonts w:ascii="Times New Roman" w:hAnsi="Times New Roman"/>
                <w:b/>
                <w:color w:val="FFFFFF"/>
                <w:lang w:val="en-US"/>
              </w:rPr>
              <w:t>May</w:t>
            </w:r>
            <w:r w:rsidR="00775AA6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14321399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 w14:paraId="0DC871CC" w14:textId="77777777" w:rsidTr="0044288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274EB27" w14:textId="77777777" w:rsidR="0029166A" w:rsidRPr="00687BA8" w:rsidRDefault="0029166A" w:rsidP="001E6744">
            <w:pPr>
              <w:spacing w:after="12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E1FD8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AF36B4" w:rsidRPr="00CE0001" w14:paraId="3A32EB55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5DC247CB" w14:textId="6958C81F" w:rsidR="00AF36B4" w:rsidRDefault="00D540D8" w:rsidP="00EC42C9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5A0322"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  <w:r w:rsidR="00CE0001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  <w:lang w:val="en-US"/>
              </w:rPr>
              <w:t>0 – 18:00</w:t>
            </w:r>
            <w:r>
              <w:rPr>
                <w:rFonts w:ascii="Times New Roman" w:hAnsi="Times New Roman"/>
                <w:b/>
                <w:lang w:val="en-US"/>
              </w:rPr>
              <w:br/>
            </w:r>
            <w:r w:rsidR="00B94B5B">
              <w:rPr>
                <w:rFonts w:ascii="Times New Roman" w:hAnsi="Times New Roman"/>
                <w:b/>
                <w:lang w:val="en-US"/>
              </w:rPr>
              <w:t>1</w:t>
            </w:r>
            <w:r w:rsidR="00756FE7">
              <w:rPr>
                <w:rFonts w:ascii="Times New Roman" w:hAnsi="Times New Roman"/>
                <w:b/>
                <w:lang w:val="en-US"/>
              </w:rPr>
              <w:t>7</w:t>
            </w:r>
            <w:r w:rsidR="00AF36B4" w:rsidRPr="00AF36B4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AF36B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F36B4" w:rsidRPr="00632CE1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014928CB" w14:textId="77777777" w:rsidR="00AF36B4" w:rsidRPr="00687BA8" w:rsidRDefault="00AF36B4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single" w:sz="4" w:space="0" w:color="auto"/>
              <w:bottom w:val="nil"/>
            </w:tcBorders>
          </w:tcPr>
          <w:p w14:paraId="6EAE9264" w14:textId="77777777" w:rsidR="00AF36B4" w:rsidRPr="001F1333" w:rsidRDefault="00AF36B4" w:rsidP="00AF36B4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 w:rsidRPr="00AF36B4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Adoption of the recommendations section on:</w:t>
            </w:r>
          </w:p>
        </w:tc>
      </w:tr>
      <w:tr w:rsidR="00C302EE" w:rsidRPr="00CE0001" w14:paraId="039590B4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4E7AFB90" w14:textId="77777777" w:rsidR="00C302EE" w:rsidRDefault="00C302EE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5F119B6D" w14:textId="77777777" w:rsidR="00C302EE" w:rsidRPr="00687BA8" w:rsidRDefault="00C302EE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418495D1" w14:textId="20C73CB4" w:rsidR="00C302EE" w:rsidRDefault="00AA2125" w:rsidP="00632CE1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Eritrea</w:t>
            </w:r>
          </w:p>
          <w:p w14:paraId="16743803" w14:textId="0D29570C" w:rsidR="00C302EE" w:rsidRDefault="00C302EE" w:rsidP="00D53E5C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9" w:history="1">
              <w:r w:rsidR="00B90F51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756FE7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5</w:t>
              </w:r>
              <w:r w:rsidR="00AA2125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7</w:t>
              </w:r>
              <w:r w:rsidR="00756FE7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4</w:t>
              </w:r>
            </w:hyperlink>
          </w:p>
        </w:tc>
      </w:tr>
      <w:tr w:rsidR="00EA7766" w:rsidRPr="00CE0001" w14:paraId="3FEDDCAD" w14:textId="77777777" w:rsidTr="00AF36B4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nil"/>
            </w:tcBorders>
          </w:tcPr>
          <w:p w14:paraId="1BDCF30E" w14:textId="77777777" w:rsidR="00EA7766" w:rsidRDefault="00EA7766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6651344" w14:textId="77777777" w:rsidR="00EA7766" w:rsidRPr="00687BA8" w:rsidRDefault="00EA7766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6EA0CD80" w14:textId="2F44DE8E" w:rsidR="00EA7766" w:rsidRPr="00775AA6" w:rsidRDefault="00AA2125" w:rsidP="00632CE1">
            <w:pPr>
              <w:spacing w:before="120" w:after="120" w:line="240" w:lineRule="auto"/>
              <w:ind w:left="-11" w:right="34"/>
              <w:rPr>
                <w:rFonts w:ascii="Times New Roman" w:hAnsi="Times New Roman"/>
                <w:b/>
                <w:bCs/>
                <w:iCs/>
                <w:spacing w:val="-4"/>
                <w:lang w:val="en-GB"/>
              </w:rPr>
            </w:pPr>
            <w:r>
              <w:rPr>
                <w:rFonts w:ascii="Times New Roman" w:hAnsi="Times New Roman"/>
                <w:b/>
                <w:bCs/>
                <w:iCs/>
                <w:spacing w:val="-4"/>
                <w:lang w:val="en-GB"/>
              </w:rPr>
              <w:t>Viet Nam</w:t>
            </w:r>
          </w:p>
          <w:p w14:paraId="29F89160" w14:textId="6D5F5D98" w:rsidR="00EA7766" w:rsidRDefault="00AF36B4" w:rsidP="00B90F51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</w:t>
            </w:r>
            <w:r w:rsidR="00A90ED2">
              <w:rPr>
                <w:rFonts w:ascii="Times New Roman" w:hAnsi="Times New Roman"/>
                <w:spacing w:val="-4"/>
                <w:lang w:val="en-US"/>
              </w:rPr>
              <w:t>Draft re</w:t>
            </w:r>
            <w:r w:rsidR="00EA7766">
              <w:rPr>
                <w:rFonts w:ascii="Times New Roman" w:hAnsi="Times New Roman"/>
                <w:spacing w:val="-4"/>
                <w:lang w:val="en-US"/>
              </w:rPr>
              <w:t xml:space="preserve">port of the UPR Working Group: </w:t>
            </w:r>
            <w:hyperlink r:id="rId10" w:history="1">
              <w:r w:rsidR="00B91814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756FE7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5</w:t>
              </w:r>
              <w:r w:rsidR="00AA2125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7</w:t>
              </w:r>
              <w:r w:rsidR="00756FE7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</w:t>
              </w:r>
              <w:r w:rsidR="00AA2125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7</w:t>
              </w:r>
            </w:hyperlink>
          </w:p>
        </w:tc>
      </w:tr>
      <w:tr w:rsidR="00013230" w:rsidRPr="00CE0001" w14:paraId="1F945220" w14:textId="77777777" w:rsidTr="00756FE7">
        <w:tblPrEx>
          <w:tblBorders>
            <w:top w:val="single" w:sz="4" w:space="0" w:color="auto"/>
          </w:tblBorders>
        </w:tblPrEx>
        <w:trPr>
          <w:trHeight w:val="219"/>
        </w:trPr>
        <w:tc>
          <w:tcPr>
            <w:tcW w:w="2420" w:type="dxa"/>
            <w:tcBorders>
              <w:top w:val="nil"/>
              <w:bottom w:val="nil"/>
            </w:tcBorders>
          </w:tcPr>
          <w:p w14:paraId="71A7B05E" w14:textId="77777777" w:rsidR="00013230" w:rsidRDefault="00013230" w:rsidP="005651D2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4925FF02" w14:textId="77777777" w:rsidR="00013230" w:rsidRPr="00687BA8" w:rsidRDefault="00013230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nil"/>
            </w:tcBorders>
          </w:tcPr>
          <w:p w14:paraId="15DD9014" w14:textId="119CF3C2" w:rsidR="005A0322" w:rsidRDefault="00AA2125" w:rsidP="005A0322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Dominican Republic</w:t>
            </w:r>
          </w:p>
          <w:p w14:paraId="51B4C91E" w14:textId="3667C29C" w:rsidR="00013230" w:rsidRDefault="005A0322" w:rsidP="005A0322">
            <w:pPr>
              <w:spacing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1" w:history="1">
              <w:r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</w:t>
              </w:r>
              <w:r w:rsidR="00756FE7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5</w:t>
              </w:r>
              <w:r w:rsidR="00AA2125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7</w:t>
              </w:r>
              <w:r w:rsidR="00756FE7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6</w:t>
              </w:r>
            </w:hyperlink>
          </w:p>
        </w:tc>
      </w:tr>
      <w:tr w:rsidR="00756FE7" w:rsidRPr="00CE0001" w14:paraId="7E92E2FE" w14:textId="77777777" w:rsidTr="00D53E5C">
        <w:tblPrEx>
          <w:tblBorders>
            <w:top w:val="single" w:sz="4" w:space="0" w:color="auto"/>
          </w:tblBorders>
        </w:tblPrEx>
        <w:trPr>
          <w:trHeight w:val="219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114DFF52" w14:textId="77777777" w:rsidR="00756FE7" w:rsidRDefault="00756FE7" w:rsidP="00756FE7">
            <w:pPr>
              <w:spacing w:before="12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7848B5B1" w14:textId="77777777" w:rsidR="00756FE7" w:rsidRPr="00687BA8" w:rsidRDefault="00756FE7" w:rsidP="00756FE7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30A4EB62" w14:textId="44612BFA" w:rsidR="00756FE7" w:rsidRDefault="00AA2125" w:rsidP="00756FE7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Cambodia</w:t>
            </w:r>
          </w:p>
          <w:p w14:paraId="186F3D64" w14:textId="4F9BA3E3" w:rsidR="00756FE7" w:rsidRDefault="00756FE7" w:rsidP="00756FE7">
            <w:pPr>
              <w:spacing w:before="120" w:after="120" w:line="240" w:lineRule="auto"/>
              <w:ind w:left="-11" w:right="34"/>
              <w:rPr>
                <w:rFonts w:ascii="Times New Roman Bold" w:hAnsi="Times New Roman Bold" w:cs="Times New Roman Bold" w:hint="eastAsia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– Draft report of the UPR Working Group: </w:t>
            </w:r>
            <w:hyperlink r:id="rId12" w:history="1">
              <w:r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A/HRC/5</w:t>
              </w:r>
              <w:r w:rsidR="00AA2125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7</w:t>
              </w:r>
              <w:r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/1</w:t>
              </w:r>
              <w:r w:rsidR="00913CCC" w:rsidRPr="00AA2125">
                <w:rPr>
                  <w:rStyle w:val="Hyperlink"/>
                  <w:rFonts w:ascii="Times New Roman Bold" w:hAnsi="Times New Roman Bold" w:cs="Times New Roman Bold"/>
                  <w:b/>
                  <w:bCs/>
                  <w:iCs/>
                  <w:spacing w:val="-4"/>
                  <w:lang w:val="en-US"/>
                </w:rPr>
                <w:t>7</w:t>
              </w:r>
            </w:hyperlink>
          </w:p>
        </w:tc>
      </w:tr>
    </w:tbl>
    <w:p w14:paraId="041CA6E7" w14:textId="77777777" w:rsidR="005A0322" w:rsidRPr="00533384" w:rsidRDefault="005A0322" w:rsidP="005A0322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5A3B9C05" w14:textId="4A793294" w:rsidR="005A0322" w:rsidRDefault="00913CCC" w:rsidP="005A0322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3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3BDD5D2F" w14:textId="6F09E0DE" w:rsidR="005A0322" w:rsidRPr="002D289D" w:rsidRDefault="00913CCC" w:rsidP="005A0322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4" w:history="1">
        <w:r w:rsidRPr="00AA2125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364CA718" w14:textId="291924BF" w:rsidR="005A0322" w:rsidRPr="0001443B" w:rsidRDefault="00AA2125" w:rsidP="005A0322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6E7D60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 (Palais des Nations, 8-14 avenue de la </w:t>
      </w:r>
      <w:proofErr w:type="spellStart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Paix</w:t>
      </w:r>
      <w:proofErr w:type="spellEnd"/>
      <w:r w:rsidRPr="006E7D60">
        <w:rPr>
          <w:rFonts w:ascii="Times New Roman" w:hAnsi="Times New Roman"/>
          <w:bCs/>
          <w:i/>
          <w:iCs/>
          <w:sz w:val="20"/>
          <w:szCs w:val="20"/>
          <w:lang w:val="en-US"/>
        </w:rPr>
        <w:t>) from 8.00 a.m. to 5.00 p.m.</w:t>
      </w:r>
    </w:p>
    <w:p w14:paraId="6C19067A" w14:textId="3D9BBCA0" w:rsidR="004D6A80" w:rsidRPr="005A0322" w:rsidRDefault="005A0322" w:rsidP="005A0322">
      <w:pPr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61BF9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261BF9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261BF9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4D6A80" w:rsidRPr="005A0322" w:rsidSect="00891652">
      <w:headerReference w:type="even" r:id="rId15"/>
      <w:headerReference w:type="default" r:id="rId16"/>
      <w:footerReference w:type="default" r:id="rId17"/>
      <w:endnotePr>
        <w:numFmt w:val="decimal"/>
      </w:endnotePr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3D7C" w14:textId="77777777" w:rsidR="00AD7515" w:rsidRDefault="00AD7515" w:rsidP="00A3692F">
      <w:pPr>
        <w:spacing w:after="0" w:line="240" w:lineRule="auto"/>
      </w:pPr>
      <w:r>
        <w:separator/>
      </w:r>
    </w:p>
  </w:endnote>
  <w:endnote w:type="continuationSeparator" w:id="0">
    <w:p w14:paraId="784B8285" w14:textId="77777777" w:rsidR="00AD7515" w:rsidRDefault="00AD7515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F697" w14:textId="77777777" w:rsidR="001E6744" w:rsidRPr="00276180" w:rsidRDefault="001E6744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252BE37C" w14:textId="77777777" w:rsidR="001E6744" w:rsidRDefault="001E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4025" w14:textId="77777777" w:rsidR="00AD7515" w:rsidRDefault="00AD7515" w:rsidP="00A3692F">
      <w:pPr>
        <w:spacing w:after="0" w:line="240" w:lineRule="auto"/>
      </w:pPr>
      <w:r>
        <w:separator/>
      </w:r>
    </w:p>
  </w:footnote>
  <w:footnote w:type="continuationSeparator" w:id="0">
    <w:p w14:paraId="0303BCBA" w14:textId="77777777" w:rsidR="00AD7515" w:rsidRDefault="00AD7515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47"/>
      <w:gridCol w:w="2999"/>
      <w:gridCol w:w="3024"/>
    </w:tblGrid>
    <w:tr w:rsidR="001E6744" w:rsidRPr="00CC0AD2" w14:paraId="0CC6E5B9" w14:textId="77777777">
      <w:tc>
        <w:tcPr>
          <w:tcW w:w="3095" w:type="dxa"/>
          <w:shd w:val="clear" w:color="auto" w:fill="auto"/>
        </w:tcPr>
        <w:p w14:paraId="0D6AB65C" w14:textId="77777777" w:rsidR="001E6744" w:rsidRPr="00CC0AD2" w:rsidRDefault="001E6744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CC0AD2">
            <w:rPr>
              <w:rFonts w:ascii="Times New Roman" w:hAnsi="Times New Roman"/>
              <w:sz w:val="18"/>
              <w:szCs w:val="18"/>
            </w:rPr>
            <w:t>A/HRC/AC/4/OD/4</w:t>
          </w:r>
        </w:p>
      </w:tc>
      <w:tc>
        <w:tcPr>
          <w:tcW w:w="3095" w:type="dxa"/>
          <w:shd w:val="clear" w:color="auto" w:fill="auto"/>
        </w:tcPr>
        <w:p w14:paraId="51E28E62" w14:textId="77777777" w:rsidR="001E6744" w:rsidRPr="00CC0AD2" w:rsidRDefault="001E6744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7B7D30D2" w14:textId="77777777" w:rsidR="001E6744" w:rsidRPr="00CC0AD2" w:rsidRDefault="001E6744" w:rsidP="00CC0AD2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CC0AD2">
            <w:rPr>
              <w:rFonts w:ascii="Times New Roman" w:hAnsi="Times New Roman"/>
              <w:sz w:val="18"/>
              <w:szCs w:val="18"/>
            </w:rPr>
            <w:t>Thursday, 28 January 2010</w:t>
          </w:r>
        </w:p>
      </w:tc>
    </w:tr>
  </w:tbl>
  <w:p w14:paraId="4567A061" w14:textId="77777777" w:rsidR="001E6744" w:rsidRDefault="001E6744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1E6744" w:rsidRPr="00705E99" w14:paraId="0068DCA7" w14:textId="77777777">
      <w:trPr>
        <w:trHeight w:val="720"/>
      </w:trPr>
      <w:tc>
        <w:tcPr>
          <w:tcW w:w="2220" w:type="dxa"/>
        </w:tcPr>
        <w:p w14:paraId="66117257" w14:textId="77777777" w:rsidR="001E6744" w:rsidRPr="004F3239" w:rsidRDefault="001E6744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65C4F51" w14:textId="77777777" w:rsidR="001E6744" w:rsidRPr="004F3239" w:rsidRDefault="001E6744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5E5BBCDA" w14:textId="77777777" w:rsidR="001E6744" w:rsidRPr="004F3239" w:rsidRDefault="001E6744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51E5A3E5" w14:textId="77777777" w:rsidR="001E6744" w:rsidRPr="00705E99" w:rsidRDefault="001E674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5E4AA1A2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FEE4F8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9945565">
    <w:abstractNumId w:val="33"/>
  </w:num>
  <w:num w:numId="2" w16cid:durableId="439616335">
    <w:abstractNumId w:val="27"/>
  </w:num>
  <w:num w:numId="3" w16cid:durableId="1825848935">
    <w:abstractNumId w:val="16"/>
  </w:num>
  <w:num w:numId="4" w16cid:durableId="124086140">
    <w:abstractNumId w:val="23"/>
  </w:num>
  <w:num w:numId="5" w16cid:durableId="1960603200">
    <w:abstractNumId w:val="29"/>
  </w:num>
  <w:num w:numId="6" w16cid:durableId="1655064390">
    <w:abstractNumId w:val="18"/>
  </w:num>
  <w:num w:numId="7" w16cid:durableId="1947884014">
    <w:abstractNumId w:val="1"/>
  </w:num>
  <w:num w:numId="8" w16cid:durableId="1456675428">
    <w:abstractNumId w:val="0"/>
  </w:num>
  <w:num w:numId="9" w16cid:durableId="318189519">
    <w:abstractNumId w:val="15"/>
  </w:num>
  <w:num w:numId="10" w16cid:durableId="1387991131">
    <w:abstractNumId w:val="21"/>
  </w:num>
  <w:num w:numId="11" w16cid:durableId="1741975102">
    <w:abstractNumId w:val="2"/>
  </w:num>
  <w:num w:numId="12" w16cid:durableId="2061855802">
    <w:abstractNumId w:val="3"/>
  </w:num>
  <w:num w:numId="13" w16cid:durableId="1637024433">
    <w:abstractNumId w:val="26"/>
  </w:num>
  <w:num w:numId="14" w16cid:durableId="1837383336">
    <w:abstractNumId w:val="25"/>
  </w:num>
  <w:num w:numId="15" w16cid:durableId="203286">
    <w:abstractNumId w:val="17"/>
  </w:num>
  <w:num w:numId="16" w16cid:durableId="278729433">
    <w:abstractNumId w:val="14"/>
  </w:num>
  <w:num w:numId="17" w16cid:durableId="1313413423">
    <w:abstractNumId w:val="30"/>
  </w:num>
  <w:num w:numId="18" w16cid:durableId="353268130">
    <w:abstractNumId w:val="28"/>
  </w:num>
  <w:num w:numId="19" w16cid:durableId="1123571737">
    <w:abstractNumId w:val="20"/>
  </w:num>
  <w:num w:numId="20" w16cid:durableId="453869088">
    <w:abstractNumId w:val="32"/>
  </w:num>
  <w:num w:numId="21" w16cid:durableId="2139520120">
    <w:abstractNumId w:val="24"/>
  </w:num>
  <w:num w:numId="22" w16cid:durableId="1037315892">
    <w:abstractNumId w:val="13"/>
  </w:num>
  <w:num w:numId="23" w16cid:durableId="1782532011">
    <w:abstractNumId w:val="11"/>
  </w:num>
  <w:num w:numId="24" w16cid:durableId="1258519071">
    <w:abstractNumId w:val="10"/>
  </w:num>
  <w:num w:numId="25" w16cid:durableId="1068578505">
    <w:abstractNumId w:val="9"/>
  </w:num>
  <w:num w:numId="26" w16cid:durableId="456335028">
    <w:abstractNumId w:val="8"/>
  </w:num>
  <w:num w:numId="27" w16cid:durableId="1786266589">
    <w:abstractNumId w:val="12"/>
  </w:num>
  <w:num w:numId="28" w16cid:durableId="275140679">
    <w:abstractNumId w:val="7"/>
  </w:num>
  <w:num w:numId="29" w16cid:durableId="944116298">
    <w:abstractNumId w:val="6"/>
  </w:num>
  <w:num w:numId="30" w16cid:durableId="1894845393">
    <w:abstractNumId w:val="5"/>
  </w:num>
  <w:num w:numId="31" w16cid:durableId="649215788">
    <w:abstractNumId w:val="4"/>
  </w:num>
  <w:num w:numId="32" w16cid:durableId="552087233">
    <w:abstractNumId w:val="31"/>
  </w:num>
  <w:num w:numId="33" w16cid:durableId="864755003">
    <w:abstractNumId w:val="19"/>
  </w:num>
  <w:num w:numId="34" w16cid:durableId="13560056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91"/>
    <w:rsid w:val="00013230"/>
    <w:rsid w:val="000301ED"/>
    <w:rsid w:val="00032313"/>
    <w:rsid w:val="0003504F"/>
    <w:rsid w:val="0005273C"/>
    <w:rsid w:val="00064F10"/>
    <w:rsid w:val="0009376B"/>
    <w:rsid w:val="0009434E"/>
    <w:rsid w:val="0009751C"/>
    <w:rsid w:val="000A14B5"/>
    <w:rsid w:val="000A290D"/>
    <w:rsid w:val="000A64FE"/>
    <w:rsid w:val="000A6B9E"/>
    <w:rsid w:val="000C5940"/>
    <w:rsid w:val="000C5A27"/>
    <w:rsid w:val="000E1AD3"/>
    <w:rsid w:val="000E6494"/>
    <w:rsid w:val="00100961"/>
    <w:rsid w:val="001063A9"/>
    <w:rsid w:val="001117FF"/>
    <w:rsid w:val="00111C6A"/>
    <w:rsid w:val="00127F29"/>
    <w:rsid w:val="00147AE2"/>
    <w:rsid w:val="00160C00"/>
    <w:rsid w:val="00161B49"/>
    <w:rsid w:val="001645FF"/>
    <w:rsid w:val="00165D5A"/>
    <w:rsid w:val="00170591"/>
    <w:rsid w:val="00181D01"/>
    <w:rsid w:val="00184EDA"/>
    <w:rsid w:val="0018550B"/>
    <w:rsid w:val="00186EF8"/>
    <w:rsid w:val="001A1089"/>
    <w:rsid w:val="001A50A8"/>
    <w:rsid w:val="001A7927"/>
    <w:rsid w:val="001C426F"/>
    <w:rsid w:val="001C683B"/>
    <w:rsid w:val="001D6AC4"/>
    <w:rsid w:val="001E2EE6"/>
    <w:rsid w:val="001E48A2"/>
    <w:rsid w:val="001E6744"/>
    <w:rsid w:val="001F1333"/>
    <w:rsid w:val="001F7752"/>
    <w:rsid w:val="00214E3F"/>
    <w:rsid w:val="00221E17"/>
    <w:rsid w:val="00223A9E"/>
    <w:rsid w:val="00241A6A"/>
    <w:rsid w:val="00254A3B"/>
    <w:rsid w:val="002554B8"/>
    <w:rsid w:val="00270444"/>
    <w:rsid w:val="00276180"/>
    <w:rsid w:val="00287C6E"/>
    <w:rsid w:val="0029166A"/>
    <w:rsid w:val="00292D6D"/>
    <w:rsid w:val="002937CD"/>
    <w:rsid w:val="002A28E4"/>
    <w:rsid w:val="002A31C8"/>
    <w:rsid w:val="002A3AB2"/>
    <w:rsid w:val="002A3F72"/>
    <w:rsid w:val="002A428C"/>
    <w:rsid w:val="002B5F51"/>
    <w:rsid w:val="002B74B3"/>
    <w:rsid w:val="002C4294"/>
    <w:rsid w:val="002C47A5"/>
    <w:rsid w:val="002D37D6"/>
    <w:rsid w:val="002E0A22"/>
    <w:rsid w:val="002E1B45"/>
    <w:rsid w:val="002E6CFA"/>
    <w:rsid w:val="002F287E"/>
    <w:rsid w:val="00301C86"/>
    <w:rsid w:val="0030451D"/>
    <w:rsid w:val="003109D7"/>
    <w:rsid w:val="00316DB4"/>
    <w:rsid w:val="00327371"/>
    <w:rsid w:val="0033311B"/>
    <w:rsid w:val="0033795A"/>
    <w:rsid w:val="003542A8"/>
    <w:rsid w:val="0036107E"/>
    <w:rsid w:val="00370F97"/>
    <w:rsid w:val="00371D2D"/>
    <w:rsid w:val="003737D5"/>
    <w:rsid w:val="003754A2"/>
    <w:rsid w:val="00380E4A"/>
    <w:rsid w:val="0038598A"/>
    <w:rsid w:val="00386027"/>
    <w:rsid w:val="00390753"/>
    <w:rsid w:val="00397B26"/>
    <w:rsid w:val="003A6E0A"/>
    <w:rsid w:val="003A7F47"/>
    <w:rsid w:val="003B55F6"/>
    <w:rsid w:val="003C4B9B"/>
    <w:rsid w:val="003D6274"/>
    <w:rsid w:val="003D64F2"/>
    <w:rsid w:val="003E02E7"/>
    <w:rsid w:val="003E0870"/>
    <w:rsid w:val="003F02E3"/>
    <w:rsid w:val="003F4610"/>
    <w:rsid w:val="003F4740"/>
    <w:rsid w:val="003F5705"/>
    <w:rsid w:val="00400622"/>
    <w:rsid w:val="0040491D"/>
    <w:rsid w:val="00426DA4"/>
    <w:rsid w:val="00430976"/>
    <w:rsid w:val="0043215A"/>
    <w:rsid w:val="00432B76"/>
    <w:rsid w:val="004343DD"/>
    <w:rsid w:val="00442887"/>
    <w:rsid w:val="00447967"/>
    <w:rsid w:val="004640D9"/>
    <w:rsid w:val="00464EA5"/>
    <w:rsid w:val="004831D4"/>
    <w:rsid w:val="0048486D"/>
    <w:rsid w:val="004951CE"/>
    <w:rsid w:val="004A361F"/>
    <w:rsid w:val="004C161E"/>
    <w:rsid w:val="004C4903"/>
    <w:rsid w:val="004D1575"/>
    <w:rsid w:val="004D429B"/>
    <w:rsid w:val="004D6A80"/>
    <w:rsid w:val="004E7892"/>
    <w:rsid w:val="004F3239"/>
    <w:rsid w:val="004F6878"/>
    <w:rsid w:val="005115D7"/>
    <w:rsid w:val="00513C37"/>
    <w:rsid w:val="005227A4"/>
    <w:rsid w:val="00533384"/>
    <w:rsid w:val="005409CB"/>
    <w:rsid w:val="00546D6C"/>
    <w:rsid w:val="0055655E"/>
    <w:rsid w:val="005651D2"/>
    <w:rsid w:val="00567354"/>
    <w:rsid w:val="00573CB2"/>
    <w:rsid w:val="00574B18"/>
    <w:rsid w:val="00577E4B"/>
    <w:rsid w:val="00594432"/>
    <w:rsid w:val="0059776B"/>
    <w:rsid w:val="005A0322"/>
    <w:rsid w:val="005A23E7"/>
    <w:rsid w:val="005B1697"/>
    <w:rsid w:val="005C1374"/>
    <w:rsid w:val="005D15F9"/>
    <w:rsid w:val="005D7B6C"/>
    <w:rsid w:val="00601CF2"/>
    <w:rsid w:val="00606A90"/>
    <w:rsid w:val="0062217B"/>
    <w:rsid w:val="00624E00"/>
    <w:rsid w:val="00632CE1"/>
    <w:rsid w:val="00634199"/>
    <w:rsid w:val="00641529"/>
    <w:rsid w:val="0065209D"/>
    <w:rsid w:val="00660824"/>
    <w:rsid w:val="00672046"/>
    <w:rsid w:val="00677CB2"/>
    <w:rsid w:val="00687BA8"/>
    <w:rsid w:val="006A023C"/>
    <w:rsid w:val="006A676A"/>
    <w:rsid w:val="006B28AB"/>
    <w:rsid w:val="006C1CA3"/>
    <w:rsid w:val="006D2107"/>
    <w:rsid w:val="006E755D"/>
    <w:rsid w:val="006F66A4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43194"/>
    <w:rsid w:val="00743DDC"/>
    <w:rsid w:val="0074627F"/>
    <w:rsid w:val="00751BC2"/>
    <w:rsid w:val="00756B2A"/>
    <w:rsid w:val="00756FE7"/>
    <w:rsid w:val="00761981"/>
    <w:rsid w:val="0076423E"/>
    <w:rsid w:val="00775AA6"/>
    <w:rsid w:val="00785E3D"/>
    <w:rsid w:val="007875E7"/>
    <w:rsid w:val="007910DA"/>
    <w:rsid w:val="007921F2"/>
    <w:rsid w:val="007924D2"/>
    <w:rsid w:val="007960F8"/>
    <w:rsid w:val="007A22AA"/>
    <w:rsid w:val="007A57A8"/>
    <w:rsid w:val="007A5E67"/>
    <w:rsid w:val="007A61E4"/>
    <w:rsid w:val="007B0B2F"/>
    <w:rsid w:val="007C32FF"/>
    <w:rsid w:val="007F1E8C"/>
    <w:rsid w:val="00807C38"/>
    <w:rsid w:val="0082213B"/>
    <w:rsid w:val="008249D2"/>
    <w:rsid w:val="00835F30"/>
    <w:rsid w:val="0083768A"/>
    <w:rsid w:val="00840D05"/>
    <w:rsid w:val="008524CA"/>
    <w:rsid w:val="00853647"/>
    <w:rsid w:val="00862673"/>
    <w:rsid w:val="00864F2A"/>
    <w:rsid w:val="00874E14"/>
    <w:rsid w:val="00883CF0"/>
    <w:rsid w:val="00891652"/>
    <w:rsid w:val="008C485E"/>
    <w:rsid w:val="008C73E6"/>
    <w:rsid w:val="008D2C41"/>
    <w:rsid w:val="008D2D88"/>
    <w:rsid w:val="008F151F"/>
    <w:rsid w:val="009004A9"/>
    <w:rsid w:val="00911B4E"/>
    <w:rsid w:val="00913CCC"/>
    <w:rsid w:val="00924D0A"/>
    <w:rsid w:val="009313DB"/>
    <w:rsid w:val="009372E9"/>
    <w:rsid w:val="009437D9"/>
    <w:rsid w:val="00946ED6"/>
    <w:rsid w:val="00954D60"/>
    <w:rsid w:val="009606DC"/>
    <w:rsid w:val="00970FF9"/>
    <w:rsid w:val="00987B07"/>
    <w:rsid w:val="00987B11"/>
    <w:rsid w:val="00997F31"/>
    <w:rsid w:val="009A0A31"/>
    <w:rsid w:val="009A1B54"/>
    <w:rsid w:val="009A49E0"/>
    <w:rsid w:val="009B4E22"/>
    <w:rsid w:val="009B57F2"/>
    <w:rsid w:val="009B77D7"/>
    <w:rsid w:val="009C1333"/>
    <w:rsid w:val="009C5532"/>
    <w:rsid w:val="009C59D7"/>
    <w:rsid w:val="009D0198"/>
    <w:rsid w:val="009D158A"/>
    <w:rsid w:val="009D3089"/>
    <w:rsid w:val="009F2B75"/>
    <w:rsid w:val="009F53DC"/>
    <w:rsid w:val="00A0057D"/>
    <w:rsid w:val="00A073CA"/>
    <w:rsid w:val="00A157FE"/>
    <w:rsid w:val="00A161CD"/>
    <w:rsid w:val="00A313F7"/>
    <w:rsid w:val="00A3692F"/>
    <w:rsid w:val="00A40732"/>
    <w:rsid w:val="00A42FF5"/>
    <w:rsid w:val="00A45810"/>
    <w:rsid w:val="00A47FD8"/>
    <w:rsid w:val="00A501F3"/>
    <w:rsid w:val="00A519EE"/>
    <w:rsid w:val="00A524B3"/>
    <w:rsid w:val="00A56A5B"/>
    <w:rsid w:val="00A62F44"/>
    <w:rsid w:val="00A63DC1"/>
    <w:rsid w:val="00A65755"/>
    <w:rsid w:val="00A671A7"/>
    <w:rsid w:val="00A70BC5"/>
    <w:rsid w:val="00A77FAA"/>
    <w:rsid w:val="00A90ED2"/>
    <w:rsid w:val="00AA2125"/>
    <w:rsid w:val="00AA466B"/>
    <w:rsid w:val="00AB53A4"/>
    <w:rsid w:val="00AB5780"/>
    <w:rsid w:val="00AD20A4"/>
    <w:rsid w:val="00AD7515"/>
    <w:rsid w:val="00AF36B4"/>
    <w:rsid w:val="00AF3AAB"/>
    <w:rsid w:val="00B01C01"/>
    <w:rsid w:val="00B03994"/>
    <w:rsid w:val="00B0499D"/>
    <w:rsid w:val="00B058AD"/>
    <w:rsid w:val="00B079AF"/>
    <w:rsid w:val="00B14164"/>
    <w:rsid w:val="00B21E4D"/>
    <w:rsid w:val="00B24A68"/>
    <w:rsid w:val="00B2515B"/>
    <w:rsid w:val="00B27001"/>
    <w:rsid w:val="00B327F3"/>
    <w:rsid w:val="00B344F4"/>
    <w:rsid w:val="00B34AC7"/>
    <w:rsid w:val="00B379E8"/>
    <w:rsid w:val="00B43703"/>
    <w:rsid w:val="00B540C3"/>
    <w:rsid w:val="00B55471"/>
    <w:rsid w:val="00B5616B"/>
    <w:rsid w:val="00B61594"/>
    <w:rsid w:val="00B72B4B"/>
    <w:rsid w:val="00B72C96"/>
    <w:rsid w:val="00B76435"/>
    <w:rsid w:val="00B77837"/>
    <w:rsid w:val="00B841E1"/>
    <w:rsid w:val="00B84EEC"/>
    <w:rsid w:val="00B90F51"/>
    <w:rsid w:val="00B91814"/>
    <w:rsid w:val="00B94B5B"/>
    <w:rsid w:val="00B95800"/>
    <w:rsid w:val="00BA0B04"/>
    <w:rsid w:val="00BA6064"/>
    <w:rsid w:val="00BB35FC"/>
    <w:rsid w:val="00BD3F4D"/>
    <w:rsid w:val="00BD6121"/>
    <w:rsid w:val="00BF0F42"/>
    <w:rsid w:val="00BF5930"/>
    <w:rsid w:val="00C00D91"/>
    <w:rsid w:val="00C0457E"/>
    <w:rsid w:val="00C06D9F"/>
    <w:rsid w:val="00C0749D"/>
    <w:rsid w:val="00C113AE"/>
    <w:rsid w:val="00C21675"/>
    <w:rsid w:val="00C302EE"/>
    <w:rsid w:val="00C32790"/>
    <w:rsid w:val="00C37747"/>
    <w:rsid w:val="00C4082A"/>
    <w:rsid w:val="00C52706"/>
    <w:rsid w:val="00C52870"/>
    <w:rsid w:val="00C52A96"/>
    <w:rsid w:val="00C54E01"/>
    <w:rsid w:val="00C60721"/>
    <w:rsid w:val="00C66607"/>
    <w:rsid w:val="00C85110"/>
    <w:rsid w:val="00CA56A1"/>
    <w:rsid w:val="00CB0CA2"/>
    <w:rsid w:val="00CB7D05"/>
    <w:rsid w:val="00CC0AD2"/>
    <w:rsid w:val="00CD0DFD"/>
    <w:rsid w:val="00CE0001"/>
    <w:rsid w:val="00CF2D92"/>
    <w:rsid w:val="00CF5287"/>
    <w:rsid w:val="00D002CA"/>
    <w:rsid w:val="00D1595D"/>
    <w:rsid w:val="00D234E2"/>
    <w:rsid w:val="00D35708"/>
    <w:rsid w:val="00D36175"/>
    <w:rsid w:val="00D46310"/>
    <w:rsid w:val="00D53E5C"/>
    <w:rsid w:val="00D540D8"/>
    <w:rsid w:val="00D54F84"/>
    <w:rsid w:val="00D86B9B"/>
    <w:rsid w:val="00D97A85"/>
    <w:rsid w:val="00DB060F"/>
    <w:rsid w:val="00DB172F"/>
    <w:rsid w:val="00DB4990"/>
    <w:rsid w:val="00DC07B7"/>
    <w:rsid w:val="00DC249F"/>
    <w:rsid w:val="00DC680B"/>
    <w:rsid w:val="00DD0B7D"/>
    <w:rsid w:val="00DD2AF6"/>
    <w:rsid w:val="00DD73CF"/>
    <w:rsid w:val="00DD7530"/>
    <w:rsid w:val="00DE58AE"/>
    <w:rsid w:val="00DF09BF"/>
    <w:rsid w:val="00DF3A2D"/>
    <w:rsid w:val="00DF574A"/>
    <w:rsid w:val="00E01A5F"/>
    <w:rsid w:val="00E1483D"/>
    <w:rsid w:val="00E349D1"/>
    <w:rsid w:val="00E46380"/>
    <w:rsid w:val="00E5661D"/>
    <w:rsid w:val="00E60C3D"/>
    <w:rsid w:val="00E63796"/>
    <w:rsid w:val="00E73294"/>
    <w:rsid w:val="00E84D2C"/>
    <w:rsid w:val="00E9324A"/>
    <w:rsid w:val="00E9551B"/>
    <w:rsid w:val="00EA10F6"/>
    <w:rsid w:val="00EA19F0"/>
    <w:rsid w:val="00EA2CE9"/>
    <w:rsid w:val="00EA7766"/>
    <w:rsid w:val="00EB27D1"/>
    <w:rsid w:val="00EB45A1"/>
    <w:rsid w:val="00EC42C9"/>
    <w:rsid w:val="00EE4D5B"/>
    <w:rsid w:val="00EF0DBD"/>
    <w:rsid w:val="00EF49E3"/>
    <w:rsid w:val="00F04025"/>
    <w:rsid w:val="00F11638"/>
    <w:rsid w:val="00F17D31"/>
    <w:rsid w:val="00F226EE"/>
    <w:rsid w:val="00F26D9E"/>
    <w:rsid w:val="00F335A2"/>
    <w:rsid w:val="00F3661C"/>
    <w:rsid w:val="00F43725"/>
    <w:rsid w:val="00F60874"/>
    <w:rsid w:val="00F65095"/>
    <w:rsid w:val="00F6726E"/>
    <w:rsid w:val="00F7698D"/>
    <w:rsid w:val="00F81CB3"/>
    <w:rsid w:val="00F83577"/>
    <w:rsid w:val="00FB1760"/>
    <w:rsid w:val="00FB5B79"/>
    <w:rsid w:val="00FC00E8"/>
    <w:rsid w:val="00FC0681"/>
    <w:rsid w:val="00FC5554"/>
    <w:rsid w:val="00FD48D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54B5A"/>
  <w15:docId w15:val="{4461959D-1178-4424-AD5B-3461F926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A03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0001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vents.ohchr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uprmeetings.ohchr.org/Sessions/46/Cambodia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prmeetings.ohchr.org/Sessions/46/DominicanRepubli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prmeetings.ohchr.org/Sessions/46/VietNam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prmeetings.ohchr.org/Sessions/46/Eritrea/Pages/default.aspx" TargetMode="External"/><Relationship Id="rId14" Type="http://schemas.openxmlformats.org/officeDocument/2006/relationships/hyperlink" Target="https://uprmeetings.ohchr.org/Sessions/46/Pages/default.aspx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BC4827E543C42A2892D6502D8A19F" ma:contentTypeVersion="1" ma:contentTypeDescription="Create a new document." ma:contentTypeScope="" ma:versionID="6fd374cb19b05f2dfe50ddb81a8b22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6F5868-8F8A-4137-83CA-8865D3F5D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0FC65-515D-49E5-B88F-42C64D3F7D4C}"/>
</file>

<file path=customXml/itemProps3.xml><?xml version="1.0" encoding="utf-8"?>
<ds:datastoreItem xmlns:ds="http://schemas.openxmlformats.org/officeDocument/2006/customXml" ds:itemID="{B9291245-6E8A-41A9-9426-AADB0CF5E991}"/>
</file>

<file path=customXml/itemProps4.xml><?xml version="1.0" encoding="utf-8"?>
<ds:datastoreItem xmlns:ds="http://schemas.openxmlformats.org/officeDocument/2006/customXml" ds:itemID="{BAC6722A-8EC6-4165-9B8B-F13B26E05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1563</CharactersWithSpaces>
  <SharedDoc>false</SharedDoc>
  <HLinks>
    <vt:vector size="12" baseType="variant"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5</cp:revision>
  <cp:lastPrinted>2018-05-17T13:25:00Z</cp:lastPrinted>
  <dcterms:created xsi:type="dcterms:W3CDTF">2023-05-11T12:33:00Z</dcterms:created>
  <dcterms:modified xsi:type="dcterms:W3CDTF">2024-05-09T10:37:00Z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0x010100407BC4827E543C42A2892D6502D8A19F</vt:lpwstr>
  </property>
</Properties>
</file>