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6C8E" w14:textId="77777777" w:rsidR="00092A78" w:rsidRDefault="00092A78" w:rsidP="00092A78">
      <w:pPr>
        <w:bidi/>
        <w:jc w:val="center"/>
        <w:rPr>
          <w:rFonts w:cs="Louguiya"/>
          <w:bCs/>
          <w:sz w:val="40"/>
          <w:szCs w:val="40"/>
        </w:rPr>
      </w:pPr>
      <w:r>
        <w:rPr>
          <w:rFonts w:cs="Louguiya" w:hint="cs"/>
          <w:bCs/>
          <w:sz w:val="40"/>
          <w:szCs w:val="40"/>
          <w:rtl/>
        </w:rPr>
        <w:t>بيان الوفد الدائم للجمهورية الإسلامية الموريتانية</w:t>
      </w:r>
    </w:p>
    <w:p w14:paraId="33895CE7" w14:textId="77777777" w:rsidR="00092A78" w:rsidRDefault="00092A78" w:rsidP="00092A78">
      <w:pPr>
        <w:bidi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37BDD12D" w14:textId="77777777" w:rsidR="00092A78" w:rsidRDefault="00092A78" w:rsidP="00092A78">
      <w:pPr>
        <w:bidi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rtl/>
        </w:rPr>
        <w:t xml:space="preserve">الاستعراض الدوري الشامل </w:t>
      </w:r>
    </w:p>
    <w:p w14:paraId="080E7B3A" w14:textId="77777777" w:rsidR="00092A78" w:rsidRDefault="00092A78" w:rsidP="00092A78">
      <w:pPr>
        <w:bidi/>
        <w:jc w:val="center"/>
        <w:rPr>
          <w:bCs/>
          <w:sz w:val="28"/>
          <w:szCs w:val="28"/>
          <w:rtl/>
        </w:rPr>
      </w:pPr>
      <w:r>
        <w:rPr>
          <w:bCs/>
          <w:sz w:val="28"/>
          <w:szCs w:val="28"/>
          <w:rtl/>
        </w:rPr>
        <w:t>الدورة الخامسة والأربعون</w:t>
      </w:r>
    </w:p>
    <w:p w14:paraId="2E9A0550" w14:textId="77777777" w:rsidR="00092A78" w:rsidRDefault="00092A78" w:rsidP="00092A78">
      <w:pPr>
        <w:bidi/>
        <w:jc w:val="center"/>
        <w:rPr>
          <w:bCs/>
          <w:sz w:val="28"/>
          <w:szCs w:val="28"/>
          <w:rtl/>
        </w:rPr>
      </w:pPr>
      <w:r>
        <w:rPr>
          <w:bCs/>
          <w:sz w:val="28"/>
          <w:szCs w:val="28"/>
          <w:rtl/>
        </w:rPr>
        <w:t>استعراض جمهورية السينغال</w:t>
      </w:r>
    </w:p>
    <w:p w14:paraId="65CA8C1A" w14:textId="77777777" w:rsidR="00092A78" w:rsidRDefault="00092A78" w:rsidP="00092A78">
      <w:pPr>
        <w:bidi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6DAA92" w14:textId="77777777" w:rsidR="00092A78" w:rsidRDefault="00092A78" w:rsidP="00092A78">
      <w:pPr>
        <w:bidi/>
        <w:jc w:val="both"/>
        <w:rPr>
          <w:rStyle w:val="jlqj4b"/>
          <w:rFonts w:ascii="Arial" w:hAnsi="Arial" w:cs="Louguiya"/>
          <w:lang w:bidi="ar"/>
        </w:rPr>
      </w:pPr>
    </w:p>
    <w:p w14:paraId="583576CF" w14:textId="77777777" w:rsidR="00092A78" w:rsidRDefault="00092A78" w:rsidP="00092A78">
      <w:pPr>
        <w:bidi/>
        <w:jc w:val="both"/>
        <w:rPr>
          <w:rStyle w:val="jlqj4b"/>
          <w:rFonts w:ascii="Arial" w:hAnsi="Arial" w:cs="Louguiya"/>
          <w:sz w:val="36"/>
          <w:szCs w:val="36"/>
          <w:lang w:bidi="ar"/>
        </w:rPr>
      </w:pPr>
      <w:r>
        <w:rPr>
          <w:rStyle w:val="jlqj4b"/>
          <w:rFonts w:ascii="Arial" w:hAnsi="Arial" w:cs="Louguiya" w:hint="cs"/>
          <w:sz w:val="36"/>
          <w:szCs w:val="36"/>
          <w:rtl/>
          <w:lang w:bidi="ar"/>
        </w:rPr>
        <w:t>شكرا السيد الرئيس،</w:t>
      </w:r>
    </w:p>
    <w:p w14:paraId="161BBFE3" w14:textId="77777777" w:rsidR="00092A78" w:rsidRDefault="00092A78" w:rsidP="00092A78">
      <w:pPr>
        <w:bidi/>
        <w:spacing w:line="235" w:lineRule="atLeast"/>
        <w:jc w:val="both"/>
        <w:rPr>
          <w:rFonts w:ascii="Calibri" w:eastAsia="Times New Roman" w:hAnsi="Calibri" w:cs="Calibri"/>
          <w:color w:val="222222"/>
          <w:lang w:eastAsia="fr-CH"/>
        </w:rPr>
      </w:pP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نرحب بالوفد الموقر لجمهورية السينغال، ونشكره على العرض الوافي للتقرير.</w:t>
      </w:r>
    </w:p>
    <w:p w14:paraId="419D3564" w14:textId="77777777" w:rsidR="00092A78" w:rsidRDefault="00092A78" w:rsidP="00092A78">
      <w:pPr>
        <w:bidi/>
        <w:spacing w:line="235" w:lineRule="atLeast"/>
        <w:jc w:val="both"/>
        <w:rPr>
          <w:rFonts w:ascii="Calibri" w:eastAsia="Times New Roman" w:hAnsi="Calibri" w:cs="Louguiya"/>
          <w:color w:val="222222"/>
          <w:sz w:val="36"/>
          <w:szCs w:val="36"/>
          <w:lang w:eastAsia="fr-CH" w:bidi="ar"/>
        </w:rPr>
      </w:pP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تشيد موريتانيا ب</w:t>
      </w: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/>
        </w:rPr>
        <w:t>انخراط حكومة السينغال في </w:t>
      </w: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 xml:space="preserve">عملية إصلاحات شاملة وشفافة، في مجالات سيادة القانون، واحترام حقوق الإنسان، والمساواة وتمكين المرأة وعدم التمييز </w:t>
      </w:r>
    </w:p>
    <w:p w14:paraId="47161392" w14:textId="77777777" w:rsidR="00092A78" w:rsidRDefault="00092A78" w:rsidP="00092A78">
      <w:pPr>
        <w:bidi/>
        <w:spacing w:line="235" w:lineRule="atLeast"/>
        <w:jc w:val="both"/>
        <w:rPr>
          <w:rFonts w:ascii="Calibri" w:eastAsia="Times New Roman" w:hAnsi="Calibri" w:cs="Calibri" w:hint="cs"/>
          <w:color w:val="222222"/>
          <w:rtl/>
          <w:lang w:eastAsia="fr-CH"/>
        </w:rPr>
      </w:pP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كما تحيي سعيها الحثيث إلى بناء القدرات في جهاز القضاء واستقلاله واستقلال الانتخابات.</w:t>
      </w:r>
    </w:p>
    <w:p w14:paraId="34F9A480" w14:textId="77777777" w:rsidR="00092A78" w:rsidRDefault="00092A78" w:rsidP="00092A78">
      <w:pPr>
        <w:bidi/>
        <w:spacing w:line="235" w:lineRule="atLeast"/>
        <w:jc w:val="both"/>
        <w:rPr>
          <w:rFonts w:ascii="Calibri" w:eastAsia="Times New Roman" w:hAnsi="Calibri" w:cs="Calibri" w:hint="cs"/>
          <w:color w:val="222222"/>
          <w:rtl/>
          <w:lang w:eastAsia="fr-CH"/>
        </w:rPr>
      </w:pP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 كما يثمن الوفد الموريتاني التزام السينغال الراسخ بالحقوق الاقتصادية والاجتماعية والثقافية والتنمية المستدامة</w:t>
      </w:r>
    </w:p>
    <w:p w14:paraId="6828A1E2" w14:textId="77777777" w:rsidR="00092A78" w:rsidRDefault="00092A78" w:rsidP="00092A78">
      <w:pPr>
        <w:bidi/>
        <w:spacing w:line="235" w:lineRule="atLeast"/>
        <w:jc w:val="both"/>
        <w:rPr>
          <w:rFonts w:ascii="Calibri" w:eastAsia="Times New Roman" w:hAnsi="Calibri" w:cs="Arial" w:hint="cs"/>
          <w:color w:val="222222"/>
          <w:rtl/>
          <w:lang w:eastAsia="fr-CH"/>
        </w:rPr>
      </w:pP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ونثمن أيضا تبني جمهورية </w:t>
      </w: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/>
        </w:rPr>
        <w:t xml:space="preserve">السينغال للخطة الوطنية للتنمية الصحية والاجتماعية 2019-2028، التي تهدف </w:t>
      </w:r>
      <w:r>
        <w:rPr>
          <w:rFonts w:ascii="Calibri" w:eastAsia="Times New Roman" w:hAnsi="Calibri" w:cs="Arial"/>
          <w:color w:val="222222"/>
          <w:sz w:val="36"/>
          <w:szCs w:val="36"/>
          <w:rtl/>
          <w:lang w:eastAsia="fr-CH"/>
        </w:rPr>
        <w:t xml:space="preserve">الي ضمان حصول الافراد والاسر والجماعات </w:t>
      </w:r>
      <w:proofErr w:type="gramStart"/>
      <w:r>
        <w:rPr>
          <w:rFonts w:ascii="Calibri" w:eastAsia="Times New Roman" w:hAnsi="Calibri" w:cs="Arial"/>
          <w:color w:val="222222"/>
          <w:sz w:val="36"/>
          <w:szCs w:val="36"/>
          <w:rtl/>
          <w:lang w:eastAsia="fr-CH"/>
        </w:rPr>
        <w:t>علي</w:t>
      </w:r>
      <w:proofErr w:type="gramEnd"/>
      <w:r>
        <w:rPr>
          <w:rFonts w:ascii="Calibri" w:eastAsia="Times New Roman" w:hAnsi="Calibri" w:cs="Arial"/>
          <w:color w:val="222222"/>
          <w:sz w:val="36"/>
          <w:szCs w:val="36"/>
          <w:rtl/>
          <w:lang w:eastAsia="fr-CH"/>
        </w:rPr>
        <w:t xml:space="preserve"> الخدمات الصحية </w:t>
      </w: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/>
        </w:rPr>
        <w:t>الوقائية والعلاجية دون أي شكل من أشكال الاقصاء</w:t>
      </w:r>
    </w:p>
    <w:p w14:paraId="79D73DB4" w14:textId="77777777" w:rsidR="00092A78" w:rsidRDefault="00092A78" w:rsidP="00092A78">
      <w:pPr>
        <w:bidi/>
        <w:spacing w:line="235" w:lineRule="atLeast"/>
        <w:jc w:val="both"/>
        <w:rPr>
          <w:rFonts w:ascii="Calibri" w:eastAsia="Times New Roman" w:hAnsi="Calibri" w:cs="Calibri"/>
          <w:color w:val="222222"/>
          <w:rtl/>
          <w:lang w:eastAsia="fr-CH"/>
        </w:rPr>
      </w:pP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وانطلاقا من روح التعاون البناء،</w:t>
      </w:r>
      <w:r>
        <w:rPr>
          <w:rFonts w:ascii="Arial" w:eastAsia="Times New Roman" w:hAnsi="Arial" w:cs="Arial"/>
          <w:color w:val="222222"/>
          <w:sz w:val="36"/>
          <w:szCs w:val="36"/>
          <w:lang w:eastAsia="fr-CH" w:bidi="ar"/>
        </w:rPr>
        <w:t> </w:t>
      </w: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نوصي بما يلي</w:t>
      </w:r>
      <w:r>
        <w:rPr>
          <w:rFonts w:ascii="Arial" w:eastAsia="Times New Roman" w:hAnsi="Arial" w:cs="Arial"/>
          <w:color w:val="222222"/>
          <w:sz w:val="36"/>
          <w:szCs w:val="36"/>
          <w:lang w:eastAsia="fr-CH"/>
        </w:rPr>
        <w:t>:</w:t>
      </w:r>
    </w:p>
    <w:p w14:paraId="51672417" w14:textId="77777777" w:rsidR="00092A78" w:rsidRDefault="00092A78" w:rsidP="00092A78">
      <w:pPr>
        <w:bidi/>
        <w:spacing w:line="235" w:lineRule="atLeast"/>
        <w:ind w:left="720"/>
        <w:jc w:val="both"/>
        <w:rPr>
          <w:rFonts w:ascii="Calibri" w:eastAsia="Times New Roman" w:hAnsi="Calibri" w:cs="Calibri" w:hint="cs"/>
          <w:color w:val="222222"/>
          <w:rtl/>
          <w:lang w:eastAsia="fr-CH"/>
        </w:rPr>
      </w:pPr>
      <w:r>
        <w:rPr>
          <w:rFonts w:ascii="Arial" w:eastAsia="Times New Roman" w:hAnsi="Arial" w:cs="Arial"/>
          <w:color w:val="222222"/>
          <w:sz w:val="36"/>
          <w:szCs w:val="36"/>
          <w:rtl/>
          <w:lang w:eastAsia="fr-CH"/>
        </w:rPr>
        <w:t>1-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rtl/>
          <w:lang w:eastAsia="fr-CH"/>
        </w:rPr>
        <w:t xml:space="preserve"> </w:t>
      </w: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مواصلة الجهود لتعزيز التدابير المتعلقة بنظام الحماية الاجتماعية والحصول على الرعاية الصحية.  </w:t>
      </w:r>
    </w:p>
    <w:p w14:paraId="7CE07060" w14:textId="77777777" w:rsidR="00092A78" w:rsidRDefault="00092A78" w:rsidP="00092A78">
      <w:pPr>
        <w:bidi/>
        <w:spacing w:line="235" w:lineRule="atLeast"/>
        <w:ind w:left="720"/>
        <w:jc w:val="both"/>
        <w:rPr>
          <w:rFonts w:ascii="Calibri" w:eastAsia="Times New Roman" w:hAnsi="Calibri" w:cs="Calibri" w:hint="cs"/>
          <w:color w:val="222222"/>
          <w:rtl/>
          <w:lang w:eastAsia="fr-CH"/>
        </w:rPr>
      </w:pPr>
      <w:r>
        <w:rPr>
          <w:rFonts w:ascii="Arial" w:eastAsia="Times New Roman" w:hAnsi="Arial" w:cs="Arial"/>
          <w:color w:val="222222"/>
          <w:sz w:val="36"/>
          <w:szCs w:val="36"/>
          <w:rtl/>
          <w:lang w:eastAsia="fr-CH"/>
        </w:rPr>
        <w:t>2</w:t>
      </w:r>
      <w:proofErr w:type="gramStart"/>
      <w:r>
        <w:rPr>
          <w:rFonts w:ascii="Arial" w:eastAsia="Times New Roman" w:hAnsi="Arial" w:cs="Arial"/>
          <w:color w:val="222222"/>
          <w:sz w:val="36"/>
          <w:szCs w:val="36"/>
          <w:rtl/>
          <w:lang w:eastAsia="fr-CH"/>
        </w:rPr>
        <w:t>-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rtl/>
          <w:lang w:eastAsia="fr-CH"/>
        </w:rPr>
        <w:t>  </w:t>
      </w: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تعزيز</w:t>
      </w:r>
      <w:proofErr w:type="gramEnd"/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 xml:space="preserve"> الجهود المبذولة من أجل تمكين المرأة وتحقيق المساواة بين الجنسين.</w:t>
      </w:r>
    </w:p>
    <w:p w14:paraId="494413E7" w14:textId="77777777" w:rsidR="00092A78" w:rsidRDefault="00092A78" w:rsidP="00092A78">
      <w:pPr>
        <w:bidi/>
        <w:spacing w:line="235" w:lineRule="atLeast"/>
        <w:jc w:val="both"/>
        <w:rPr>
          <w:rFonts w:ascii="Calibri" w:eastAsia="Times New Roman" w:hAnsi="Calibri" w:cs="Calibri" w:hint="cs"/>
          <w:color w:val="222222"/>
          <w:rtl/>
          <w:lang w:eastAsia="fr-CH"/>
        </w:rPr>
      </w:pP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 </w:t>
      </w:r>
    </w:p>
    <w:p w14:paraId="53BC56AA" w14:textId="77777777" w:rsidR="00092A78" w:rsidRDefault="00092A78" w:rsidP="00092A78">
      <w:pPr>
        <w:bidi/>
        <w:spacing w:line="235" w:lineRule="atLeast"/>
        <w:jc w:val="both"/>
        <w:rPr>
          <w:rFonts w:ascii="Calibri" w:eastAsia="Times New Roman" w:hAnsi="Calibri" w:cs="Calibri" w:hint="cs"/>
          <w:color w:val="222222"/>
          <w:rtl/>
          <w:lang w:eastAsia="fr-CH"/>
        </w:rPr>
      </w:pPr>
      <w:r>
        <w:rPr>
          <w:rFonts w:ascii="Calibri" w:eastAsia="Times New Roman" w:hAnsi="Calibri" w:cs="Louguiya" w:hint="cs"/>
          <w:color w:val="222222"/>
          <w:sz w:val="36"/>
          <w:szCs w:val="36"/>
          <w:rtl/>
          <w:lang w:eastAsia="fr-CH" w:bidi="ar"/>
        </w:rPr>
        <w:t>وفي الختام، نتمنى للسينغال استعراضا موفقا وناجحا.</w:t>
      </w:r>
    </w:p>
    <w:p w14:paraId="7B55981D" w14:textId="77777777" w:rsidR="00092A78" w:rsidRDefault="00092A78" w:rsidP="00092A78">
      <w:pPr>
        <w:bidi/>
        <w:jc w:val="both"/>
        <w:rPr>
          <w:rStyle w:val="jlqj4b"/>
          <w:rFonts w:ascii="Arial" w:hAnsi="Arial" w:cs="Louguiya" w:hint="cs"/>
          <w:sz w:val="36"/>
          <w:szCs w:val="36"/>
          <w:rtl/>
        </w:rPr>
      </w:pPr>
    </w:p>
    <w:p w14:paraId="1DB98101" w14:textId="77777777" w:rsidR="00092A78" w:rsidRDefault="00092A78" w:rsidP="00092A78">
      <w:pPr>
        <w:bidi/>
        <w:jc w:val="both"/>
        <w:rPr>
          <w:rStyle w:val="jlqj4b"/>
          <w:rFonts w:ascii="Arial" w:hAnsi="Arial" w:cs="Louguiya" w:hint="cs"/>
          <w:sz w:val="36"/>
          <w:szCs w:val="36"/>
          <w:rtl/>
          <w:lang w:bidi="ar"/>
        </w:rPr>
      </w:pPr>
      <w:r>
        <w:rPr>
          <w:rStyle w:val="jlqj4b"/>
          <w:rFonts w:ascii="Arial" w:hAnsi="Arial" w:cs="Louguiya" w:hint="cs"/>
          <w:sz w:val="36"/>
          <w:szCs w:val="36"/>
          <w:rtl/>
          <w:lang w:bidi="ar"/>
        </w:rPr>
        <w:t>أشكركم السيد الرئيس.</w:t>
      </w:r>
    </w:p>
    <w:p w14:paraId="274FA1D6" w14:textId="77777777" w:rsidR="00ED4355" w:rsidRDefault="00ED4355"/>
    <w:sectPr w:rsidR="00ED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guiya">
    <w:altName w:val="Arial"/>
    <w:panose1 w:val="020005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EC"/>
    <w:rsid w:val="00092A78"/>
    <w:rsid w:val="00ED4355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2889"/>
  <w15:chartTrackingRefBased/>
  <w15:docId w15:val="{9DA9F363-7CDC-46E4-BD99-A6E31E2D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78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68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68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68E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68E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68E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68E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68E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68E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68E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68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68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68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68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68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68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6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F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68E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F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68E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F68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68E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F68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68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68EC"/>
    <w:rPr>
      <w:b/>
      <w:bCs/>
      <w:smallCaps/>
      <w:color w:val="0F4761" w:themeColor="accent1" w:themeShade="BF"/>
      <w:spacing w:val="5"/>
    </w:rPr>
  </w:style>
  <w:style w:type="character" w:customStyle="1" w:styleId="jlqj4b">
    <w:name w:val="jlqj4b"/>
    <w:basedOn w:val="Policepardfaut"/>
    <w:rsid w:val="0009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632038-C113-4112-8956-4704825D8E8D}"/>
</file>

<file path=customXml/itemProps2.xml><?xml version="1.0" encoding="utf-8"?>
<ds:datastoreItem xmlns:ds="http://schemas.openxmlformats.org/officeDocument/2006/customXml" ds:itemID="{7E2CEEA2-0DAB-4D8D-8492-8BBB88B3D0D3}"/>
</file>

<file path=customXml/itemProps3.xml><?xml version="1.0" encoding="utf-8"?>
<ds:datastoreItem xmlns:ds="http://schemas.openxmlformats.org/officeDocument/2006/customXml" ds:itemID="{4ADE6A65-88B5-4D7A-83FC-A47368DEE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Mauritanie</dc:creator>
  <cp:keywords/>
  <dc:description/>
  <cp:lastModifiedBy>Mission Mauritanie</cp:lastModifiedBy>
  <cp:revision>2</cp:revision>
  <dcterms:created xsi:type="dcterms:W3CDTF">2024-01-18T12:57:00Z</dcterms:created>
  <dcterms:modified xsi:type="dcterms:W3CDTF">2024-01-18T12:58:00Z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