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>
        <w:trPr>
          <w:trHeight w:val="1526"/>
        </w:trPr>
        <w:tc>
          <w:tcPr>
            <w:tcW w:w="5113" w:type="dxa"/>
            <w:shd w:val="clear" w:color="auto" w:fill="FFFFFF"/>
          </w:tcPr>
          <w:p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953920" w:rsidRDefault="00DF3804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476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:rsid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العربية</w:t>
      </w:r>
    </w:p>
    <w:p w:rsidR="00533697" w:rsidRPr="00533697" w:rsidRDefault="00533697" w:rsidP="00C0070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الاستعراض الدوري الشامل</w:t>
      </w:r>
      <w:r w:rsidR="00C00701" w:rsidRPr="00C007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لجمهورية </w:t>
      </w:r>
      <w:r w:rsidR="00C00701" w:rsidRPr="00C007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موريشيوس</w:t>
      </w:r>
    </w:p>
    <w:p w:rsidR="00533697" w:rsidRPr="00C00701" w:rsidRDefault="00C00701" w:rsidP="00C0070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007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24 يناير 2024</w:t>
      </w:r>
    </w:p>
    <w:p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533697" w:rsidRDefault="00533697" w:rsidP="00533697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:rsidR="00871C3D" w:rsidRDefault="00533697" w:rsidP="00C00701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الوفد الرفيع المستوى لجمهورية 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موريشيوس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الشقيقة</w:t>
      </w:r>
      <w:r w:rsidR="00C0070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</w:p>
    <w:p w:rsidR="00533697" w:rsidRDefault="00F01435" w:rsidP="00121A90">
      <w:pPr>
        <w:autoSpaceDE w:val="0"/>
        <w:autoSpaceDN w:val="0"/>
        <w:bidi/>
        <w:adjustRightInd w:val="0"/>
        <w:spacing w:before="240" w:after="200" w:line="540" w:lineRule="exact"/>
        <w:ind w:left="-1080" w:right="-72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يثمن</w:t>
      </w:r>
      <w:r w:rsidR="00121A9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وفد مصر 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الجهود الحثيثة التى تبذلها حكومة موريشيوس من أجل النهوض بأوضاع حقوق الانسان فيها،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كما 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نشيد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بالإجراءات المتواصلة ل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تعزيز البنية التشريعية </w:t>
      </w:r>
      <w:r w:rsidR="00E4789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والجهود الخ</w:t>
      </w:r>
      <w:r w:rsidR="007378F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اصة بتحقيق المساواة و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مكافحة التمييز </w:t>
      </w:r>
      <w:r w:rsidRPr="00F0143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والجهود الخاصة بالتثقيف والتوعية في مجال حقوق الإنسان </w:t>
      </w:r>
      <w:r w:rsidR="00121A9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6076D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تعزيز الحق فى العمل والمستوي المعيشي اللائق والصحة والتعليم</w:t>
      </w:r>
      <w:r w:rsidR="00C74DA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  <w:r w:rsidR="00871C3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كما نشيد بالتعاون القائم بين حكومة موريشيوس والآليات ال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دولية</w:t>
      </w:r>
      <w:r w:rsidR="00871C3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لحقوق الانسان.</w:t>
      </w:r>
      <w:r w:rsidR="00533697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 </w:t>
      </w:r>
    </w:p>
    <w:p w:rsidR="00533697" w:rsidRDefault="00533697" w:rsidP="00546ACC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F01435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ونود أن نتقدم بالتوصي</w:t>
      </w:r>
      <w:r w:rsidR="008450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</w:t>
      </w:r>
      <w:r w:rsidR="00F01435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التالي</w:t>
      </w:r>
      <w:r w:rsidR="008450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إلى 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وفد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جمهورية 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موريشيوس</w:t>
      </w:r>
      <w:r w:rsidR="00546ACC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3D3E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الشقيقة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للنظر فيه</w:t>
      </w:r>
      <w:r w:rsidR="008450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 في إطار مساعيها لتطوير أوضاع حقوق الإنسان فى البلاد:</w:t>
      </w:r>
    </w:p>
    <w:p w:rsidR="006076DD" w:rsidRPr="00F01435" w:rsidRDefault="006076DD" w:rsidP="00F01435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الجهود الخاصة بتعزيز حقوق </w:t>
      </w:r>
      <w:r w:rsidR="00F0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الأشخاص </w:t>
      </w:r>
      <w:proofErr w:type="gramStart"/>
      <w:r w:rsidR="00F0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ذوى</w:t>
      </w:r>
      <w:proofErr w:type="gramEnd"/>
      <w:r w:rsidR="00F014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الإعاقة وتعزيز إدماجهم في النظام التعليمي الوطني. </w:t>
      </w:r>
    </w:p>
    <w:p w:rsidR="00276197" w:rsidRPr="00F01435" w:rsidRDefault="00276197" w:rsidP="008450CD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/>
          <w:b/>
          <w:bCs/>
          <w:spacing w:val="-8"/>
          <w:sz w:val="36"/>
          <w:szCs w:val="36"/>
          <w:lang w:bidi="ar-EG"/>
        </w:rPr>
      </w:pPr>
      <w:r w:rsidRPr="00F01435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 xml:space="preserve">مواصلة الجهود الرامية لمكافحة </w:t>
      </w:r>
      <w:r w:rsidR="008450CD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>العنف ضد المرأة</w:t>
      </w:r>
      <w:r w:rsidRPr="00F01435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 xml:space="preserve"> </w:t>
      </w:r>
      <w:r w:rsidR="008450CD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 xml:space="preserve">كذا </w:t>
      </w:r>
      <w:r w:rsidRPr="00F01435">
        <w:rPr>
          <w:rFonts w:ascii="Simplified Arabic" w:hAnsi="Simplified Arabic" w:cs="Simplified Arabic" w:hint="cs"/>
          <w:b/>
          <w:bCs/>
          <w:spacing w:val="-8"/>
          <w:sz w:val="36"/>
          <w:szCs w:val="36"/>
          <w:rtl/>
          <w:lang w:bidi="ar-EG"/>
        </w:rPr>
        <w:t>وتعزيز مشاركة المرأة في الحياة العامة.</w:t>
      </w:r>
    </w:p>
    <w:p w:rsidR="00533697" w:rsidRDefault="00533697" w:rsidP="00871C3D">
      <w:p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شكرًا سيدي الرئيس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ونتمنى لوفد جمهورية </w:t>
      </w:r>
      <w:r w:rsidR="00546AC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موريشيوس</w:t>
      </w:r>
      <w:r w:rsidR="00546ACC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كل التوفيق خلال الجلسة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:rsidR="00533697" w:rsidRDefault="00533697" w:rsidP="00490079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p w:rsidR="00490079" w:rsidRDefault="00490079" w:rsidP="00512601">
      <w:pPr>
        <w:autoSpaceDE w:val="0"/>
        <w:autoSpaceDN w:val="0"/>
        <w:adjustRightInd w:val="0"/>
        <w:spacing w:after="200" w:line="340" w:lineRule="exact"/>
        <w:ind w:right="-360"/>
      </w:pPr>
    </w:p>
    <w:sectPr w:rsidR="00490079" w:rsidSect="00533697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0D0BE3"/>
    <w:rsid w:val="00121A90"/>
    <w:rsid w:val="00193BBB"/>
    <w:rsid w:val="001F5094"/>
    <w:rsid w:val="00210868"/>
    <w:rsid w:val="00276197"/>
    <w:rsid w:val="00343099"/>
    <w:rsid w:val="00356DD8"/>
    <w:rsid w:val="00382F1A"/>
    <w:rsid w:val="003D3E2B"/>
    <w:rsid w:val="00490079"/>
    <w:rsid w:val="004B7A4B"/>
    <w:rsid w:val="00512601"/>
    <w:rsid w:val="00533697"/>
    <w:rsid w:val="00546ACC"/>
    <w:rsid w:val="006076DD"/>
    <w:rsid w:val="00670A24"/>
    <w:rsid w:val="00693571"/>
    <w:rsid w:val="007378F4"/>
    <w:rsid w:val="008450CD"/>
    <w:rsid w:val="00871C3D"/>
    <w:rsid w:val="00953920"/>
    <w:rsid w:val="009A7068"/>
    <w:rsid w:val="009C125C"/>
    <w:rsid w:val="00A56CD9"/>
    <w:rsid w:val="00A857C2"/>
    <w:rsid w:val="00C00701"/>
    <w:rsid w:val="00C74DAB"/>
    <w:rsid w:val="00D871C0"/>
    <w:rsid w:val="00DF3804"/>
    <w:rsid w:val="00E01237"/>
    <w:rsid w:val="00E4789F"/>
    <w:rsid w:val="00F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51B733-DA04-4DD5-B13B-F171541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EF946B6-3432-4B0C-B33E-79AE0BD1E734}"/>
</file>

<file path=customXml/itemProps2.xml><?xml version="1.0" encoding="utf-8"?>
<ds:datastoreItem xmlns:ds="http://schemas.openxmlformats.org/officeDocument/2006/customXml" ds:itemID="{64436156-CDCC-4D3C-B2E7-58BF5E977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94D7B-F8BC-4DDC-A68F-0CA9510D7D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ch</dc:creator>
  <cp:keywords/>
  <cp:lastModifiedBy>GENEVE15</cp:lastModifiedBy>
  <cp:revision>2</cp:revision>
  <dcterms:created xsi:type="dcterms:W3CDTF">2024-01-19T10:04:00Z</dcterms:created>
  <dcterms:modified xsi:type="dcterms:W3CDTF">2024-01-19T10:04:00Z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