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69A4" w14:textId="77777777" w:rsidR="001810C7" w:rsidRPr="00E81479" w:rsidRDefault="001810C7" w:rsidP="001810C7">
      <w:pPr>
        <w:tabs>
          <w:tab w:val="left" w:pos="1275"/>
        </w:tabs>
        <w:spacing w:after="0" w:line="240" w:lineRule="auto"/>
        <w:jc w:val="center"/>
        <w:rPr>
          <w:rFonts w:ascii="Book Antiqua" w:eastAsia="Calibri" w:hAnsi="Book Antiqua"/>
          <w:b/>
          <w:kern w:val="0"/>
          <w:sz w:val="26"/>
          <w:szCs w:val="26"/>
          <w:lang w:val="en-GB"/>
          <w14:ligatures w14:val="none"/>
        </w:rPr>
      </w:pPr>
      <w:r w:rsidRPr="00E81479">
        <w:rPr>
          <w:rFonts w:ascii="Book Antiqua" w:eastAsia="Calibri" w:hAnsi="Book Antiqua"/>
          <w:noProof/>
          <w:kern w:val="0"/>
          <w:sz w:val="26"/>
          <w:szCs w:val="26"/>
        </w:rPr>
        <w:drawing>
          <wp:inline distT="0" distB="0" distL="0" distR="0" wp14:anchorId="329B58E8" wp14:editId="0CAE936D">
            <wp:extent cx="904875" cy="809625"/>
            <wp:effectExtent l="0" t="0" r="9525" b="9525"/>
            <wp:docPr id="1" name="Picture 1" descr="wps8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8BA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09625"/>
                    </a:xfrm>
                    <a:prstGeom prst="rect">
                      <a:avLst/>
                    </a:prstGeom>
                    <a:noFill/>
                    <a:ln>
                      <a:noFill/>
                    </a:ln>
                  </pic:spPr>
                </pic:pic>
              </a:graphicData>
            </a:graphic>
          </wp:inline>
        </w:drawing>
      </w:r>
    </w:p>
    <w:p w14:paraId="42C0B1E3" w14:textId="77777777" w:rsidR="001810C7" w:rsidRPr="00E81479" w:rsidRDefault="001810C7" w:rsidP="001810C7">
      <w:pPr>
        <w:tabs>
          <w:tab w:val="left" w:pos="1275"/>
        </w:tabs>
        <w:spacing w:after="0" w:line="240" w:lineRule="auto"/>
        <w:rPr>
          <w:rFonts w:ascii="Book Antiqua" w:eastAsia="Calibri" w:hAnsi="Book Antiqua"/>
          <w:b/>
          <w:kern w:val="0"/>
          <w:sz w:val="26"/>
          <w:szCs w:val="26"/>
          <w:lang w:val="en-GB"/>
          <w14:ligatures w14:val="none"/>
        </w:rPr>
      </w:pPr>
    </w:p>
    <w:p w14:paraId="75752E39" w14:textId="77777777" w:rsidR="001810C7" w:rsidRPr="00E81479" w:rsidRDefault="001810C7" w:rsidP="001810C7">
      <w:pPr>
        <w:spacing w:after="0" w:line="240" w:lineRule="auto"/>
        <w:jc w:val="center"/>
        <w:rPr>
          <w:rFonts w:ascii="Book Antiqua" w:eastAsia="Calibri" w:hAnsi="Book Antiqua"/>
          <w:b/>
          <w:kern w:val="0"/>
          <w:sz w:val="26"/>
          <w:szCs w:val="26"/>
          <w:lang w:val="en-GB"/>
          <w14:ligatures w14:val="none"/>
        </w:rPr>
      </w:pPr>
      <w:r w:rsidRPr="00E81479">
        <w:rPr>
          <w:rFonts w:ascii="Book Antiqua" w:eastAsia="Calibri" w:hAnsi="Book Antiqua"/>
          <w:b/>
          <w:kern w:val="0"/>
          <w:sz w:val="26"/>
          <w:szCs w:val="26"/>
          <w:lang w:val="en-GB"/>
          <w14:ligatures w14:val="none"/>
        </w:rPr>
        <w:t>THE 45</w:t>
      </w:r>
      <w:r w:rsidRPr="00E81479">
        <w:rPr>
          <w:rFonts w:ascii="Book Antiqua" w:eastAsia="Calibri" w:hAnsi="Book Antiqua"/>
          <w:b/>
          <w:kern w:val="0"/>
          <w:sz w:val="26"/>
          <w:szCs w:val="26"/>
          <w:vertAlign w:val="superscript"/>
          <w:lang w:val="en-GB"/>
          <w14:ligatures w14:val="none"/>
        </w:rPr>
        <w:t>TH</w:t>
      </w:r>
      <w:r w:rsidRPr="00E81479">
        <w:rPr>
          <w:rFonts w:ascii="Book Antiqua" w:eastAsia="Calibri" w:hAnsi="Book Antiqua"/>
          <w:b/>
          <w:kern w:val="0"/>
          <w:sz w:val="26"/>
          <w:szCs w:val="26"/>
          <w:lang w:val="en-GB"/>
          <w14:ligatures w14:val="none"/>
        </w:rPr>
        <w:t xml:space="preserve"> SESSION OF THE WORKING GROUP ON UNIVERSAL   PERIODIC REVIEW (UPR)</w:t>
      </w:r>
    </w:p>
    <w:p w14:paraId="2B7B3BF7" w14:textId="431565DC" w:rsidR="001810C7" w:rsidRPr="00E81479" w:rsidRDefault="001810C7" w:rsidP="001810C7">
      <w:pPr>
        <w:spacing w:after="0" w:line="240" w:lineRule="auto"/>
        <w:jc w:val="center"/>
        <w:rPr>
          <w:rFonts w:ascii="Book Antiqua" w:eastAsia="Calibri" w:hAnsi="Book Antiqua"/>
          <w:b/>
          <w:kern w:val="0"/>
          <w:sz w:val="26"/>
          <w:szCs w:val="26"/>
          <w:lang w:val="en-GB"/>
          <w14:ligatures w14:val="none"/>
        </w:rPr>
      </w:pPr>
      <w:r w:rsidRPr="00E81479">
        <w:rPr>
          <w:rFonts w:ascii="Book Antiqua" w:eastAsia="Calibri" w:hAnsi="Book Antiqua"/>
          <w:b/>
          <w:kern w:val="0"/>
          <w:sz w:val="26"/>
          <w:szCs w:val="26"/>
          <w:lang w:val="en-GB"/>
          <w14:ligatures w14:val="none"/>
        </w:rPr>
        <w:t>KENYA’S STATEMENT ON HASHEMITE KINGDOM OF JORDAN</w:t>
      </w:r>
    </w:p>
    <w:p w14:paraId="31B844EE" w14:textId="77777777" w:rsidR="001810C7" w:rsidRPr="00E81479" w:rsidRDefault="00000000" w:rsidP="001810C7">
      <w:pPr>
        <w:spacing w:after="0" w:line="240" w:lineRule="auto"/>
        <w:jc w:val="center"/>
        <w:rPr>
          <w:rFonts w:ascii="Book Antiqua" w:eastAsia="Calibri" w:hAnsi="Book Antiqua"/>
          <w:b/>
          <w:kern w:val="0"/>
          <w:sz w:val="26"/>
          <w:szCs w:val="26"/>
          <w:lang w:val="en-GB"/>
          <w14:ligatures w14:val="none"/>
        </w:rPr>
      </w:pPr>
      <w:r>
        <w:rPr>
          <w:rFonts w:ascii="Book Antiqua" w:eastAsia="Calibri" w:hAnsi="Book Antiqua"/>
          <w:b/>
          <w:kern w:val="0"/>
          <w:sz w:val="26"/>
          <w:szCs w:val="26"/>
          <w:lang w:val="en-GB"/>
          <w14:ligatures w14:val="none"/>
        </w:rPr>
        <w:pict w14:anchorId="407B7605">
          <v:rect id="_x0000_i1025" style="width:468pt;height:1.5pt" o:hralign="center" o:hrstd="t" o:hr="t" fillcolor="#a0a0a0" stroked="f"/>
        </w:pict>
      </w:r>
    </w:p>
    <w:p w14:paraId="05391BE8" w14:textId="77777777" w:rsidR="001810C7" w:rsidRPr="00E81479" w:rsidRDefault="001810C7" w:rsidP="001810C7">
      <w:pPr>
        <w:spacing w:after="0" w:line="240" w:lineRule="auto"/>
        <w:jc w:val="both"/>
        <w:rPr>
          <w:rFonts w:ascii="Book Antiqua" w:eastAsia="Calibri" w:hAnsi="Book Antiqua"/>
          <w:b/>
          <w:kern w:val="0"/>
          <w:sz w:val="26"/>
          <w:szCs w:val="26"/>
          <w:lang w:val="en-GB"/>
          <w14:ligatures w14:val="none"/>
        </w:rPr>
      </w:pPr>
    </w:p>
    <w:p w14:paraId="7AF044A8" w14:textId="77777777" w:rsidR="001810C7" w:rsidRPr="00E81479" w:rsidRDefault="001810C7" w:rsidP="001810C7">
      <w:pPr>
        <w:spacing w:after="0" w:line="240" w:lineRule="auto"/>
        <w:jc w:val="both"/>
        <w:rPr>
          <w:rFonts w:ascii="Book Antiqua" w:eastAsia="Calibri" w:hAnsi="Book Antiqua"/>
          <w:b/>
          <w:kern w:val="0"/>
          <w:sz w:val="26"/>
          <w:szCs w:val="26"/>
          <w:lang w:val="en-GB"/>
          <w14:ligatures w14:val="none"/>
        </w:rPr>
      </w:pPr>
      <w:r w:rsidRPr="00E81479">
        <w:rPr>
          <w:rFonts w:ascii="Book Antiqua" w:eastAsia="Calibri" w:hAnsi="Book Antiqua"/>
          <w:b/>
          <w:kern w:val="0"/>
          <w:sz w:val="26"/>
          <w:szCs w:val="26"/>
          <w:lang w:val="en-GB"/>
          <w14:ligatures w14:val="none"/>
        </w:rPr>
        <w:t>Thank you. Mr. President,</w:t>
      </w:r>
    </w:p>
    <w:p w14:paraId="6E86D5C4" w14:textId="77777777" w:rsidR="001810C7" w:rsidRPr="00E81479" w:rsidRDefault="001810C7" w:rsidP="001810C7">
      <w:pPr>
        <w:spacing w:after="0" w:line="240" w:lineRule="auto"/>
        <w:jc w:val="both"/>
        <w:rPr>
          <w:rFonts w:ascii="Book Antiqua" w:eastAsia="Calibri" w:hAnsi="Book Antiqua"/>
          <w:b/>
          <w:kern w:val="0"/>
          <w:sz w:val="26"/>
          <w:szCs w:val="26"/>
          <w:lang w:val="en-GB"/>
          <w14:ligatures w14:val="none"/>
        </w:rPr>
      </w:pPr>
    </w:p>
    <w:p w14:paraId="679C6B14" w14:textId="3E4D1EC8" w:rsidR="001810C7" w:rsidRDefault="001810C7" w:rsidP="001810C7">
      <w:pPr>
        <w:spacing w:after="0" w:line="360" w:lineRule="auto"/>
        <w:jc w:val="both"/>
        <w:rPr>
          <w:rFonts w:ascii="Book Antiqua" w:eastAsia="Calibri" w:hAnsi="Book Antiqua"/>
          <w:bCs/>
          <w:kern w:val="0"/>
          <w:sz w:val="26"/>
          <w:szCs w:val="26"/>
          <w:lang w:val="en-GB"/>
          <w14:ligatures w14:val="none"/>
        </w:rPr>
      </w:pPr>
      <w:r w:rsidRPr="00E81479">
        <w:rPr>
          <w:rFonts w:ascii="Book Antiqua" w:eastAsia="Calibri" w:hAnsi="Book Antiqua"/>
          <w:bCs/>
          <w:kern w:val="0"/>
          <w:sz w:val="26"/>
          <w:szCs w:val="26"/>
          <w:lang w:val="en-GB"/>
          <w14:ligatures w14:val="none"/>
        </w:rPr>
        <w:t>Kenya congratulates the Hashemite Kingdom of Jordan on this 4</w:t>
      </w:r>
      <w:r w:rsidRPr="00E81479">
        <w:rPr>
          <w:rFonts w:ascii="Book Antiqua" w:eastAsia="Calibri" w:hAnsi="Book Antiqua"/>
          <w:bCs/>
          <w:kern w:val="0"/>
          <w:sz w:val="26"/>
          <w:szCs w:val="26"/>
          <w:vertAlign w:val="superscript"/>
          <w:lang w:val="en-GB"/>
          <w14:ligatures w14:val="none"/>
        </w:rPr>
        <w:t>th</w:t>
      </w:r>
      <w:r w:rsidRPr="00E81479">
        <w:rPr>
          <w:rFonts w:ascii="Book Antiqua" w:eastAsia="Calibri" w:hAnsi="Book Antiqua"/>
          <w:bCs/>
          <w:kern w:val="0"/>
          <w:sz w:val="26"/>
          <w:szCs w:val="26"/>
          <w:lang w:val="en-GB"/>
          <w14:ligatures w14:val="none"/>
        </w:rPr>
        <w:t xml:space="preserve"> cycle of the UPR and welcomes its comprehensive national report and oral update.</w:t>
      </w:r>
    </w:p>
    <w:p w14:paraId="4373B6ED" w14:textId="77777777" w:rsidR="00E81479" w:rsidRPr="00E81479" w:rsidRDefault="00E81479" w:rsidP="001810C7">
      <w:pPr>
        <w:spacing w:after="0" w:line="360" w:lineRule="auto"/>
        <w:jc w:val="both"/>
        <w:rPr>
          <w:rFonts w:ascii="Book Antiqua" w:eastAsia="Calibri" w:hAnsi="Book Antiqua"/>
          <w:bCs/>
          <w:kern w:val="0"/>
          <w:sz w:val="26"/>
          <w:szCs w:val="26"/>
          <w:lang w:val="en-GB"/>
          <w14:ligatures w14:val="none"/>
        </w:rPr>
      </w:pPr>
    </w:p>
    <w:p w14:paraId="5ACACA04" w14:textId="3C55F1D4" w:rsidR="001810C7" w:rsidRPr="00E81479" w:rsidRDefault="001810C7" w:rsidP="001810C7">
      <w:pPr>
        <w:spacing w:after="0" w:line="360" w:lineRule="auto"/>
        <w:jc w:val="both"/>
        <w:rPr>
          <w:rFonts w:ascii="Book Antiqua" w:eastAsia="Calibri" w:hAnsi="Book Antiqua"/>
          <w:bCs/>
          <w:kern w:val="0"/>
          <w:sz w:val="26"/>
          <w:szCs w:val="26"/>
          <w:lang w:val="en-GB"/>
          <w14:ligatures w14:val="none"/>
        </w:rPr>
      </w:pPr>
      <w:r w:rsidRPr="00E81479">
        <w:rPr>
          <w:rFonts w:ascii="Book Antiqua" w:eastAsia="Calibri" w:hAnsi="Book Antiqua"/>
          <w:bCs/>
          <w:kern w:val="0"/>
          <w:sz w:val="26"/>
          <w:szCs w:val="26"/>
          <w:lang w:val="en-GB"/>
          <w14:ligatures w14:val="none"/>
        </w:rPr>
        <w:t xml:space="preserve">We commend Jordan for cooperating with the Special Procedures through country visits, amending its Constitution to strengthen women rights and rights of persons with disabilities and urge that it continues to implement </w:t>
      </w:r>
      <w:r w:rsidR="00896AA5">
        <w:rPr>
          <w:rFonts w:ascii="Book Antiqua" w:eastAsia="Calibri" w:hAnsi="Book Antiqua"/>
          <w:bCs/>
          <w:kern w:val="0"/>
          <w:sz w:val="26"/>
          <w:szCs w:val="26"/>
          <w:lang w:val="en-GB"/>
          <w14:ligatures w14:val="none"/>
        </w:rPr>
        <w:t>its</w:t>
      </w:r>
      <w:r w:rsidRPr="00E81479">
        <w:rPr>
          <w:rFonts w:ascii="Book Antiqua" w:eastAsia="Calibri" w:hAnsi="Book Antiqua"/>
          <w:bCs/>
          <w:kern w:val="0"/>
          <w:sz w:val="26"/>
          <w:szCs w:val="26"/>
          <w:lang w:val="en-GB"/>
          <w14:ligatures w14:val="none"/>
        </w:rPr>
        <w:t xml:space="preserve"> National Policies and Action plans and </w:t>
      </w:r>
      <w:r w:rsidR="00896AA5">
        <w:rPr>
          <w:rFonts w:ascii="Book Antiqua" w:eastAsia="Calibri" w:hAnsi="Book Antiqua"/>
          <w:bCs/>
          <w:kern w:val="0"/>
          <w:sz w:val="26"/>
          <w:szCs w:val="26"/>
          <w:lang w:val="en-GB"/>
          <w14:ligatures w14:val="none"/>
        </w:rPr>
        <w:t xml:space="preserve">to fully </w:t>
      </w:r>
      <w:r w:rsidRPr="00E81479">
        <w:rPr>
          <w:rFonts w:ascii="Book Antiqua" w:eastAsia="Calibri" w:hAnsi="Book Antiqua"/>
          <w:bCs/>
          <w:kern w:val="0"/>
          <w:sz w:val="26"/>
          <w:szCs w:val="26"/>
          <w:lang w:val="en-GB"/>
          <w14:ligatures w14:val="none"/>
        </w:rPr>
        <w:t>implement the Comprehensive national plan for Human Rights (2016-2025) for the enjoyment of human rights for all.</w:t>
      </w:r>
    </w:p>
    <w:p w14:paraId="372E4667" w14:textId="2B5EBCD0" w:rsidR="001810C7" w:rsidRDefault="001810C7" w:rsidP="001810C7">
      <w:pPr>
        <w:spacing w:after="0" w:line="360" w:lineRule="auto"/>
        <w:jc w:val="both"/>
        <w:rPr>
          <w:rFonts w:ascii="Book Antiqua" w:eastAsia="Calibri" w:hAnsi="Book Antiqua"/>
          <w:b/>
          <w:kern w:val="0"/>
          <w:sz w:val="26"/>
          <w:szCs w:val="26"/>
          <w:lang w:val="en-GB"/>
          <w14:ligatures w14:val="none"/>
        </w:rPr>
      </w:pPr>
      <w:r w:rsidRPr="00E81479">
        <w:rPr>
          <w:rFonts w:ascii="Book Antiqua" w:eastAsia="Calibri" w:hAnsi="Book Antiqua"/>
          <w:b/>
          <w:kern w:val="0"/>
          <w:sz w:val="26"/>
          <w:szCs w:val="26"/>
          <w:lang w:val="en-GB"/>
          <w14:ligatures w14:val="none"/>
        </w:rPr>
        <w:t xml:space="preserve">Kenya makes the following recommendations for consideration:  </w:t>
      </w:r>
    </w:p>
    <w:p w14:paraId="536D1EC7" w14:textId="77777777" w:rsidR="00E81479" w:rsidRPr="00E81479" w:rsidRDefault="00E81479" w:rsidP="001810C7">
      <w:pPr>
        <w:spacing w:after="0" w:line="360" w:lineRule="auto"/>
        <w:jc w:val="both"/>
        <w:rPr>
          <w:rFonts w:ascii="Book Antiqua" w:eastAsia="Calibri" w:hAnsi="Book Antiqua"/>
          <w:b/>
          <w:kern w:val="0"/>
          <w:sz w:val="26"/>
          <w:szCs w:val="26"/>
          <w:lang w:val="en-GB"/>
          <w14:ligatures w14:val="none"/>
        </w:rPr>
      </w:pPr>
    </w:p>
    <w:p w14:paraId="70C3642B" w14:textId="5370D7A2" w:rsidR="001810C7" w:rsidRPr="00E81479" w:rsidRDefault="001810C7" w:rsidP="001810C7">
      <w:pPr>
        <w:pStyle w:val="ListParagraph"/>
        <w:numPr>
          <w:ilvl w:val="0"/>
          <w:numId w:val="3"/>
        </w:numPr>
        <w:spacing w:after="0" w:line="360" w:lineRule="auto"/>
        <w:jc w:val="both"/>
        <w:rPr>
          <w:rFonts w:ascii="Book Antiqua" w:eastAsia="Calibri" w:hAnsi="Book Antiqua"/>
          <w:kern w:val="0"/>
          <w:sz w:val="26"/>
          <w:szCs w:val="26"/>
          <w:lang w:val="en-GB"/>
          <w14:ligatures w14:val="none"/>
        </w:rPr>
      </w:pPr>
      <w:r w:rsidRPr="00E81479">
        <w:rPr>
          <w:rFonts w:ascii="Book Antiqua" w:eastAsia="Calibri" w:hAnsi="Book Antiqua"/>
          <w:kern w:val="0"/>
          <w:sz w:val="26"/>
          <w:szCs w:val="26"/>
          <w:lang w:val="en-GB"/>
          <w14:ligatures w14:val="none"/>
        </w:rPr>
        <w:t>Finalize and implement the National Strategy and Action Plan to Prevent Trafficking (2023-2026) to combat trafficking in persons.</w:t>
      </w:r>
    </w:p>
    <w:p w14:paraId="392AE983" w14:textId="77777777" w:rsidR="00E81479" w:rsidRPr="00E81479" w:rsidRDefault="001810C7" w:rsidP="001810C7">
      <w:pPr>
        <w:pStyle w:val="ListParagraph"/>
        <w:numPr>
          <w:ilvl w:val="0"/>
          <w:numId w:val="3"/>
        </w:numPr>
        <w:spacing w:after="0" w:line="360" w:lineRule="auto"/>
        <w:jc w:val="both"/>
        <w:rPr>
          <w:rFonts w:ascii="Book Antiqua" w:eastAsia="Calibri" w:hAnsi="Book Antiqua"/>
          <w:kern w:val="0"/>
          <w:sz w:val="26"/>
          <w:szCs w:val="26"/>
          <w:lang w:val="en-GB"/>
          <w14:ligatures w14:val="none"/>
        </w:rPr>
      </w:pPr>
      <w:r w:rsidRPr="00E81479">
        <w:rPr>
          <w:rFonts w:ascii="Book Antiqua" w:eastAsia="Calibri" w:hAnsi="Book Antiqua"/>
          <w:kern w:val="0"/>
          <w:sz w:val="26"/>
          <w:szCs w:val="26"/>
          <w:lang w:val="en-GB"/>
          <w14:ligatures w14:val="none"/>
        </w:rPr>
        <w:t xml:space="preserve">Take the necessary steps to </w:t>
      </w:r>
      <w:r w:rsidR="00E81479" w:rsidRPr="00E81479">
        <w:rPr>
          <w:rFonts w:ascii="Book Antiqua" w:eastAsia="Calibri" w:hAnsi="Book Antiqua"/>
          <w:kern w:val="0"/>
          <w:sz w:val="26"/>
          <w:szCs w:val="26"/>
          <w:lang w:val="en-GB"/>
          <w14:ligatures w14:val="none"/>
        </w:rPr>
        <w:t xml:space="preserve">monitor cases of </w:t>
      </w:r>
      <w:r w:rsidR="00E81479" w:rsidRPr="00E81479">
        <w:rPr>
          <w:rFonts w:ascii="Book Antiqua" w:eastAsia="Calibri" w:hAnsi="Book Antiqua"/>
          <w:kern w:val="0"/>
          <w:sz w:val="26"/>
          <w:szCs w:val="26"/>
          <w14:ligatures w14:val="none"/>
        </w:rPr>
        <w:t>domestic violence against children and sexual exploitation by investigation and prosecuting perpetrators.</w:t>
      </w:r>
    </w:p>
    <w:p w14:paraId="76AFF4C1" w14:textId="77777777" w:rsidR="00E81479" w:rsidRPr="00E81479" w:rsidRDefault="00E81479" w:rsidP="00896AA5">
      <w:pPr>
        <w:pStyle w:val="ListParagraph"/>
        <w:spacing w:after="0" w:line="360" w:lineRule="auto"/>
        <w:jc w:val="both"/>
        <w:rPr>
          <w:rFonts w:ascii="Book Antiqua" w:eastAsia="Calibri" w:hAnsi="Book Antiqua"/>
          <w:kern w:val="0"/>
          <w:sz w:val="26"/>
          <w:szCs w:val="26"/>
          <w:lang w:val="en-GB"/>
          <w14:ligatures w14:val="none"/>
        </w:rPr>
      </w:pPr>
    </w:p>
    <w:p w14:paraId="652491BD" w14:textId="59AFAED7" w:rsidR="001810C7" w:rsidRPr="00E81479" w:rsidRDefault="001810C7" w:rsidP="00E81479">
      <w:pPr>
        <w:spacing w:after="0" w:line="360" w:lineRule="auto"/>
        <w:jc w:val="both"/>
        <w:rPr>
          <w:rFonts w:ascii="Book Antiqua" w:eastAsia="Calibri" w:hAnsi="Book Antiqua"/>
          <w:kern w:val="0"/>
          <w:sz w:val="26"/>
          <w:szCs w:val="26"/>
          <w:lang w:val="en-GB"/>
          <w14:ligatures w14:val="none"/>
        </w:rPr>
      </w:pPr>
      <w:r w:rsidRPr="00E81479">
        <w:rPr>
          <w:rFonts w:ascii="Book Antiqua" w:eastAsia="Calibri" w:hAnsi="Book Antiqua"/>
          <w:kern w:val="0"/>
          <w:sz w:val="26"/>
          <w:szCs w:val="26"/>
          <w:lang w:val="en-GB"/>
          <w14:ligatures w14:val="none"/>
        </w:rPr>
        <w:t>Finally, Kenya wishes the delegation of Jordan a very successful UPR.</w:t>
      </w:r>
    </w:p>
    <w:p w14:paraId="1966AFD7" w14:textId="493D74F8" w:rsidR="001810C7" w:rsidRPr="00E81479" w:rsidRDefault="001810C7" w:rsidP="00E81479">
      <w:pPr>
        <w:spacing w:after="0" w:line="360" w:lineRule="auto"/>
        <w:jc w:val="both"/>
        <w:rPr>
          <w:rFonts w:ascii="Book Antiqua" w:eastAsia="Calibri" w:hAnsi="Book Antiqua"/>
          <w:b/>
          <w:bCs/>
          <w:kern w:val="0"/>
          <w:sz w:val="26"/>
          <w:szCs w:val="26"/>
          <w:lang w:val="en-GB"/>
          <w14:ligatures w14:val="none"/>
        </w:rPr>
      </w:pPr>
      <w:r w:rsidRPr="00E81479">
        <w:rPr>
          <w:rFonts w:ascii="Book Antiqua" w:eastAsia="Calibri" w:hAnsi="Book Antiqua"/>
          <w:b/>
          <w:bCs/>
          <w:kern w:val="0"/>
          <w:sz w:val="26"/>
          <w:szCs w:val="26"/>
          <w:lang w:val="en-GB"/>
          <w14:ligatures w14:val="none"/>
        </w:rPr>
        <w:t>I thank you.</w:t>
      </w:r>
    </w:p>
    <w:sectPr w:rsidR="001810C7" w:rsidRPr="00E81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B0C"/>
    <w:multiLevelType w:val="hybridMultilevel"/>
    <w:tmpl w:val="B260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D034C"/>
    <w:multiLevelType w:val="hybridMultilevel"/>
    <w:tmpl w:val="49A6CAEE"/>
    <w:lvl w:ilvl="0" w:tplc="ABF0AD2A">
      <w:start w:val="1"/>
      <w:numFmt w:val="decimal"/>
      <w:lvlText w:val="%1."/>
      <w:lvlJc w:val="left"/>
      <w:pPr>
        <w:ind w:left="720" w:hanging="360"/>
      </w:pPr>
      <w:rPr>
        <w:rFonts w:ascii="Arial" w:eastAsia="Calibri" w:hAnsi="Arial" w:cs="Arial"/>
      </w:rPr>
    </w:lvl>
    <w:lvl w:ilvl="1" w:tplc="04090003">
      <w:numFmt w:val="decimal"/>
      <w:lvlText w:val="o"/>
      <w:lvlJc w:val="left"/>
      <w:pPr>
        <w:ind w:left="1260" w:hanging="360"/>
      </w:pPr>
      <w:rPr>
        <w:rFonts w:ascii="Courier New" w:hAnsi="Courier New" w:cs="Times New Roman" w:hint="default"/>
      </w:rPr>
    </w:lvl>
    <w:lvl w:ilvl="2" w:tplc="04090005">
      <w:numFmt w:val="decimal"/>
      <w:lvlText w:val=""/>
      <w:lvlJc w:val="left"/>
      <w:pPr>
        <w:ind w:left="1980" w:hanging="360"/>
      </w:pPr>
      <w:rPr>
        <w:rFonts w:ascii="Wingdings" w:hAnsi="Wingdings" w:hint="default"/>
      </w:rPr>
    </w:lvl>
    <w:lvl w:ilvl="3" w:tplc="04090001">
      <w:numFmt w:val="decimal"/>
      <w:lvlText w:val=""/>
      <w:lvlJc w:val="left"/>
      <w:pPr>
        <w:ind w:left="2700" w:hanging="360"/>
      </w:pPr>
      <w:rPr>
        <w:rFonts w:ascii="Symbol" w:hAnsi="Symbol" w:hint="default"/>
      </w:rPr>
    </w:lvl>
    <w:lvl w:ilvl="4" w:tplc="04090003">
      <w:numFmt w:val="decimal"/>
      <w:lvlText w:val="o"/>
      <w:lvlJc w:val="left"/>
      <w:pPr>
        <w:ind w:left="3420" w:hanging="360"/>
      </w:pPr>
      <w:rPr>
        <w:rFonts w:ascii="Courier New" w:hAnsi="Courier New" w:cs="Times New Roman" w:hint="default"/>
      </w:rPr>
    </w:lvl>
    <w:lvl w:ilvl="5" w:tplc="04090005">
      <w:numFmt w:val="decimal"/>
      <w:lvlText w:val=""/>
      <w:lvlJc w:val="left"/>
      <w:pPr>
        <w:ind w:left="4140" w:hanging="360"/>
      </w:pPr>
      <w:rPr>
        <w:rFonts w:ascii="Wingdings" w:hAnsi="Wingdings" w:hint="default"/>
      </w:rPr>
    </w:lvl>
    <w:lvl w:ilvl="6" w:tplc="04090001">
      <w:numFmt w:val="decimal"/>
      <w:lvlText w:val=""/>
      <w:lvlJc w:val="left"/>
      <w:pPr>
        <w:ind w:left="4860" w:hanging="360"/>
      </w:pPr>
      <w:rPr>
        <w:rFonts w:ascii="Symbol" w:hAnsi="Symbol" w:hint="default"/>
      </w:rPr>
    </w:lvl>
    <w:lvl w:ilvl="7" w:tplc="04090003">
      <w:numFmt w:val="decimal"/>
      <w:lvlText w:val="o"/>
      <w:lvlJc w:val="left"/>
      <w:pPr>
        <w:ind w:left="5580" w:hanging="360"/>
      </w:pPr>
      <w:rPr>
        <w:rFonts w:ascii="Courier New" w:hAnsi="Courier New" w:cs="Times New Roman" w:hint="default"/>
      </w:rPr>
    </w:lvl>
    <w:lvl w:ilvl="8" w:tplc="04090005">
      <w:numFmt w:val="decimal"/>
      <w:lvlText w:val=""/>
      <w:lvlJc w:val="left"/>
      <w:pPr>
        <w:ind w:left="6300" w:hanging="360"/>
      </w:pPr>
      <w:rPr>
        <w:rFonts w:ascii="Wingdings" w:hAnsi="Wingdings" w:hint="default"/>
      </w:rPr>
    </w:lvl>
  </w:abstractNum>
  <w:abstractNum w:abstractNumId="2" w15:restartNumberingAfterBreak="0">
    <w:nsid w:val="763B0923"/>
    <w:multiLevelType w:val="hybridMultilevel"/>
    <w:tmpl w:val="8864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678481">
    <w:abstractNumId w:val="1"/>
  </w:num>
  <w:num w:numId="2" w16cid:durableId="2078896745">
    <w:abstractNumId w:val="2"/>
  </w:num>
  <w:num w:numId="3" w16cid:durableId="85053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C7"/>
    <w:rsid w:val="001810C7"/>
    <w:rsid w:val="00896AA5"/>
    <w:rsid w:val="00E8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69CF"/>
  <w15:chartTrackingRefBased/>
  <w15:docId w15:val="{00E848AE-4E51-4746-982B-12F49618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C7"/>
    <w:pPr>
      <w:spacing w:line="276" w:lineRule="auto"/>
    </w:pPr>
    <w:rPr>
      <w:rFonts w:ascii="Aptos" w:eastAsia="Aptos" w:hAnsi="Aptos" w:cs="Times New Roman"/>
    </w:rPr>
  </w:style>
  <w:style w:type="paragraph" w:styleId="Heading1">
    <w:name w:val="heading 1"/>
    <w:basedOn w:val="Normal"/>
    <w:next w:val="Normal"/>
    <w:link w:val="Heading1Char"/>
    <w:uiPriority w:val="9"/>
    <w:qFormat/>
    <w:rsid w:val="00181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0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0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0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0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0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0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0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0C7"/>
    <w:rPr>
      <w:rFonts w:eastAsiaTheme="majorEastAsia" w:cstheme="majorBidi"/>
      <w:color w:val="272727" w:themeColor="text1" w:themeTint="D8"/>
    </w:rPr>
  </w:style>
  <w:style w:type="paragraph" w:styleId="Title">
    <w:name w:val="Title"/>
    <w:basedOn w:val="Normal"/>
    <w:next w:val="Normal"/>
    <w:link w:val="TitleChar"/>
    <w:uiPriority w:val="10"/>
    <w:qFormat/>
    <w:rsid w:val="00181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0C7"/>
    <w:pPr>
      <w:spacing w:before="160"/>
      <w:jc w:val="center"/>
    </w:pPr>
    <w:rPr>
      <w:i/>
      <w:iCs/>
      <w:color w:val="404040" w:themeColor="text1" w:themeTint="BF"/>
    </w:rPr>
  </w:style>
  <w:style w:type="character" w:customStyle="1" w:styleId="QuoteChar">
    <w:name w:val="Quote Char"/>
    <w:basedOn w:val="DefaultParagraphFont"/>
    <w:link w:val="Quote"/>
    <w:uiPriority w:val="29"/>
    <w:rsid w:val="001810C7"/>
    <w:rPr>
      <w:i/>
      <w:iCs/>
      <w:color w:val="404040" w:themeColor="text1" w:themeTint="BF"/>
    </w:rPr>
  </w:style>
  <w:style w:type="paragraph" w:styleId="ListParagraph">
    <w:name w:val="List Paragraph"/>
    <w:basedOn w:val="Normal"/>
    <w:uiPriority w:val="34"/>
    <w:qFormat/>
    <w:rsid w:val="001810C7"/>
    <w:pPr>
      <w:ind w:left="720"/>
      <w:contextualSpacing/>
    </w:pPr>
  </w:style>
  <w:style w:type="character" w:styleId="IntenseEmphasis">
    <w:name w:val="Intense Emphasis"/>
    <w:basedOn w:val="DefaultParagraphFont"/>
    <w:uiPriority w:val="21"/>
    <w:qFormat/>
    <w:rsid w:val="001810C7"/>
    <w:rPr>
      <w:i/>
      <w:iCs/>
      <w:color w:val="0F4761" w:themeColor="accent1" w:themeShade="BF"/>
    </w:rPr>
  </w:style>
  <w:style w:type="paragraph" w:styleId="IntenseQuote">
    <w:name w:val="Intense Quote"/>
    <w:basedOn w:val="Normal"/>
    <w:next w:val="Normal"/>
    <w:link w:val="IntenseQuoteChar"/>
    <w:uiPriority w:val="30"/>
    <w:qFormat/>
    <w:rsid w:val="00181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0C7"/>
    <w:rPr>
      <w:i/>
      <w:iCs/>
      <w:color w:val="0F4761" w:themeColor="accent1" w:themeShade="BF"/>
    </w:rPr>
  </w:style>
  <w:style w:type="character" w:styleId="IntenseReference">
    <w:name w:val="Intense Reference"/>
    <w:basedOn w:val="DefaultParagraphFont"/>
    <w:uiPriority w:val="32"/>
    <w:qFormat/>
    <w:rsid w:val="001810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2819</DocId>
    <Category xmlns="328c4b46-73db-4dea-b856-05d9d8a86ba6" xsi:nil="true"/>
  </documentManagement>
</p:properties>
</file>

<file path=customXml/itemProps1.xml><?xml version="1.0" encoding="utf-8"?>
<ds:datastoreItem xmlns:ds="http://schemas.openxmlformats.org/officeDocument/2006/customXml" ds:itemID="{9BE899EC-0D16-4A65-857B-68DB85DC1F93}"/>
</file>

<file path=customXml/itemProps2.xml><?xml version="1.0" encoding="utf-8"?>
<ds:datastoreItem xmlns:ds="http://schemas.openxmlformats.org/officeDocument/2006/customXml" ds:itemID="{34F601AA-F0B0-4236-8D57-70F3F30DC250}"/>
</file>

<file path=customXml/itemProps3.xml><?xml version="1.0" encoding="utf-8"?>
<ds:datastoreItem xmlns:ds="http://schemas.openxmlformats.org/officeDocument/2006/customXml" ds:itemID="{8B0B80AA-1ABB-4611-B6A2-F034D0153237}"/>
</file>

<file path=docProps/app.xml><?xml version="1.0" encoding="utf-8"?>
<Properties xmlns="http://schemas.openxmlformats.org/officeDocument/2006/extended-properties" xmlns:vt="http://schemas.openxmlformats.org/officeDocument/2006/docPropsVTypes">
  <Template>Normal</Template>
  <TotalTime>18</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Maki</dc:creator>
  <cp:keywords/>
  <dc:description/>
  <cp:lastModifiedBy>Titus Maki</cp:lastModifiedBy>
  <cp:revision>3</cp:revision>
  <dcterms:created xsi:type="dcterms:W3CDTF">2024-01-25T06:18:00Z</dcterms:created>
  <dcterms:modified xsi:type="dcterms:W3CDTF">2024-01-25T07:08:00Z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0x010100CB19EE1007424046882ACFCF6D986112</vt:lpwstr>
  </property>
</Properties>
</file>