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5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67"/>
        <w:gridCol w:w="1527"/>
        <w:gridCol w:w="3753"/>
      </w:tblGrid>
      <w:tr w:rsidR="00DB00C2" w14:paraId="00CC6FDD" w14:textId="77777777" w:rsidTr="00DB00C2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8394E7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</w:rPr>
            </w:pPr>
            <w:r>
              <w:rPr>
                <w:rFonts w:ascii="Times New Roman" w:eastAsia="WenQuanYi Micro Hei" w:hAnsi="Times New Roman" w:cs="Times New Roman"/>
              </w:rPr>
              <w:t>AMBASSADE DU TOGO</w:t>
            </w:r>
          </w:p>
          <w:p w14:paraId="7AF447E4" w14:textId="77777777" w:rsidR="00DB00C2" w:rsidRDefault="00DB00C2">
            <w:pPr>
              <w:widowControl w:val="0"/>
              <w:jc w:val="both"/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Mission Permanente auprès de l'Office des Nations Unies, de l'Organisation Mondiale du Commerce 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76FE34" w14:textId="581122F4" w:rsidR="00DB00C2" w:rsidRDefault="00DB00C2">
            <w:pPr>
              <w:pStyle w:val="En-tte"/>
              <w:jc w:val="both"/>
            </w:pPr>
            <w:r>
              <w:rPr>
                <w:rFonts w:cstheme="minorHAnsi"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5493E34B" wp14:editId="2E0186B8">
                  <wp:extent cx="604520" cy="1010920"/>
                  <wp:effectExtent l="0" t="0" r="5080" b="0"/>
                  <wp:docPr id="1972379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02B47B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REPUBLIQUE TOGOLAISE                            </w:t>
            </w:r>
          </w:p>
          <w:p w14:paraId="7AD2B73C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i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lang w:val="fr-FR"/>
              </w:rPr>
              <w:t xml:space="preserve">      Travail- Liberté-Patrie</w:t>
            </w:r>
          </w:p>
        </w:tc>
      </w:tr>
      <w:tr w:rsidR="00DB00C2" w14:paraId="084F911A" w14:textId="77777777" w:rsidTr="00DB00C2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C1686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8F716" w14:textId="77777777" w:rsidR="00DB00C2" w:rsidRDefault="00DB00C2">
            <w:pPr>
              <w:pStyle w:val="En-tte"/>
              <w:jc w:val="both"/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BD538" w14:textId="77777777" w:rsidR="00DB00C2" w:rsidRDefault="00DB00C2">
            <w:pPr>
              <w:pStyle w:val="En-tte"/>
              <w:jc w:val="both"/>
            </w:pPr>
          </w:p>
        </w:tc>
      </w:tr>
    </w:tbl>
    <w:p w14:paraId="6F7E380F" w14:textId="77777777" w:rsidR="00DB00C2" w:rsidRDefault="00DB00C2" w:rsidP="00DB00C2">
      <w:pPr>
        <w:jc w:val="both"/>
      </w:pPr>
    </w:p>
    <w:p w14:paraId="58397855" w14:textId="77777777" w:rsidR="00DB00C2" w:rsidRDefault="00DB00C2" w:rsidP="00DB00C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Conseil des droits de l’homme</w:t>
      </w:r>
    </w:p>
    <w:p w14:paraId="2FCA2979" w14:textId="6CD3E29D" w:rsidR="00DB00C2" w:rsidRDefault="00DB00C2" w:rsidP="00DB00C2">
      <w:pPr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val="fr-FR" w:eastAsia="en-US" w:bidi="ar-SA"/>
        </w:rPr>
        <w:t>4</w:t>
      </w:r>
      <w:r w:rsidR="00A32997">
        <w:rPr>
          <w:rFonts w:ascii="Times New Roman" w:hAnsi="Times New Roman"/>
          <w:b/>
          <w:sz w:val="32"/>
          <w:szCs w:val="32"/>
          <w:lang w:val="fr-FR" w:eastAsia="en-US" w:bidi="ar-SA"/>
        </w:rPr>
        <w:t>5</w:t>
      </w:r>
      <w:proofErr w:type="spellStart"/>
      <w:r>
        <w:rPr>
          <w:rFonts w:ascii="Times New Roman" w:hAnsi="Times New Roman"/>
          <w:b/>
          <w:sz w:val="32"/>
          <w:szCs w:val="32"/>
          <w:vertAlign w:val="superscript"/>
          <w:lang w:eastAsia="en-US" w:bidi="ar-SA"/>
        </w:rPr>
        <w:t>ème</w:t>
      </w:r>
      <w:proofErr w:type="spellEnd"/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Session du </w:t>
      </w:r>
      <w:r w:rsidR="009913CA">
        <w:rPr>
          <w:rFonts w:ascii="Times New Roman" w:hAnsi="Times New Roman"/>
          <w:b/>
          <w:sz w:val="32"/>
          <w:szCs w:val="32"/>
          <w:lang w:eastAsia="en-US" w:bidi="ar-SA"/>
        </w:rPr>
        <w:t>G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roupe de travail de l'Examen Périodique Universel (EPU) </w:t>
      </w:r>
      <w:r w:rsidR="00A32997">
        <w:rPr>
          <w:rFonts w:ascii="Times New Roman" w:hAnsi="Times New Roman"/>
          <w:b/>
          <w:sz w:val="32"/>
          <w:szCs w:val="32"/>
          <w:lang w:eastAsia="en-US" w:bidi="ar-SA"/>
        </w:rPr>
        <w:t>22 janvier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au </w:t>
      </w:r>
      <w:r w:rsidR="00A32997">
        <w:rPr>
          <w:rFonts w:ascii="Times New Roman" w:hAnsi="Times New Roman"/>
          <w:b/>
          <w:sz w:val="32"/>
          <w:szCs w:val="32"/>
          <w:lang w:eastAsia="en-US" w:bidi="ar-SA"/>
        </w:rPr>
        <w:t>02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</w:t>
      </w:r>
      <w:r w:rsidR="00A32997">
        <w:rPr>
          <w:rFonts w:ascii="Times New Roman" w:hAnsi="Times New Roman"/>
          <w:b/>
          <w:sz w:val="32"/>
          <w:szCs w:val="32"/>
          <w:lang w:eastAsia="en-US" w:bidi="ar-SA"/>
        </w:rPr>
        <w:t>février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202</w:t>
      </w:r>
      <w:r w:rsidR="00A32997">
        <w:rPr>
          <w:rFonts w:ascii="Times New Roman" w:hAnsi="Times New Roman"/>
          <w:b/>
          <w:sz w:val="32"/>
          <w:szCs w:val="32"/>
          <w:lang w:eastAsia="en-US" w:bidi="ar-SA"/>
        </w:rPr>
        <w:t>4</w:t>
      </w:r>
    </w:p>
    <w:p w14:paraId="79A5E391" w14:textId="77777777" w:rsidR="00DB00C2" w:rsidRDefault="00DB00C2" w:rsidP="00DB00C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6C181EFE" w14:textId="77777777" w:rsidR="00DB00C2" w:rsidRDefault="00DB00C2" w:rsidP="00DB00C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7469F713" w14:textId="15E8250C" w:rsidR="00DB00C2" w:rsidRPr="00A652E9" w:rsidRDefault="00DB00C2" w:rsidP="00DB00C2">
      <w:pPr>
        <w:jc w:val="center"/>
        <w:rPr>
          <w:rFonts w:ascii="Times New Roman" w:hAnsi="Times New Roman"/>
          <w:b/>
          <w:sz w:val="32"/>
          <w:szCs w:val="32"/>
          <w:lang w:val="fr-FR"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Examen du rapport d</w:t>
      </w:r>
      <w:r w:rsidR="00A5453A">
        <w:rPr>
          <w:rFonts w:ascii="Times New Roman" w:hAnsi="Times New Roman"/>
          <w:b/>
          <w:sz w:val="32"/>
          <w:szCs w:val="32"/>
          <w:lang w:eastAsia="en-US" w:bidi="ar-SA"/>
        </w:rPr>
        <w:t>u Tchad</w:t>
      </w:r>
    </w:p>
    <w:p w14:paraId="20387709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13B53BC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C08275E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6FDB1358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281FAC6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F7E55AD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CA975DB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C1B529D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F3D14D9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5558B12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  <w:t>Déclaration de la délégation togolaise</w:t>
      </w:r>
    </w:p>
    <w:p w14:paraId="2DC4FAE5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78D9F65C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CCD1916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3484FF6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8306A95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475A448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02C22F1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84547A7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4DA8BD1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F32829A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FC93831" w14:textId="5EF9C516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A5453A">
        <w:rPr>
          <w:rFonts w:ascii="Times New Roman" w:hAnsi="Times New Roman"/>
          <w:i/>
          <w:sz w:val="28"/>
          <w:szCs w:val="28"/>
          <w:lang w:eastAsia="en-US" w:bidi="ar-SA"/>
        </w:rPr>
        <w:t>30</w:t>
      </w:r>
      <w:r w:rsidR="009913CA">
        <w:rPr>
          <w:rFonts w:ascii="Times New Roman" w:hAnsi="Times New Roman"/>
          <w:i/>
          <w:sz w:val="28"/>
          <w:szCs w:val="28"/>
          <w:lang w:eastAsia="en-US" w:bidi="ar-SA"/>
        </w:rPr>
        <w:t xml:space="preserve"> janvier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9913CA">
        <w:rPr>
          <w:rFonts w:ascii="Times New Roman" w:hAnsi="Times New Roman"/>
          <w:i/>
          <w:sz w:val="28"/>
          <w:szCs w:val="28"/>
          <w:lang w:eastAsia="en-US" w:bidi="ar-SA"/>
        </w:rPr>
        <w:t>4</w:t>
      </w:r>
    </w:p>
    <w:p w14:paraId="457D9F5E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(09h-12h 30)</w:t>
      </w:r>
    </w:p>
    <w:p w14:paraId="7F57C4BE" w14:textId="77777777" w:rsidR="00DB00C2" w:rsidRDefault="00DB00C2" w:rsidP="00DB00C2">
      <w:pPr>
        <w:suppressAutoHyphens w:val="0"/>
        <w:spacing w:after="200" w:line="276" w:lineRule="auto"/>
        <w:jc w:val="both"/>
      </w:pPr>
    </w:p>
    <w:p w14:paraId="6523A6EE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23C7E6AF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46E98278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  <w:r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  <w:t>Monsieur le Président,</w:t>
      </w:r>
    </w:p>
    <w:p w14:paraId="06FA9947" w14:textId="76BB5E51" w:rsidR="007639FB" w:rsidRDefault="00DB00C2" w:rsidP="007639FB">
      <w:pPr>
        <w:jc w:val="both"/>
        <w:rPr>
          <w:rFonts w:ascii="Times New Roman" w:hAnsi="Times New Roman"/>
          <w:sz w:val="30"/>
          <w:szCs w:val="30"/>
          <w:lang w:val="fr-MC"/>
        </w:rPr>
      </w:pPr>
      <w:r>
        <w:rPr>
          <w:rFonts w:ascii="Times New Roman" w:hAnsi="Times New Roman"/>
          <w:sz w:val="30"/>
          <w:szCs w:val="30"/>
          <w:lang w:val="fr-FR"/>
        </w:rPr>
        <w:t>Le Togo</w:t>
      </w:r>
      <w:r w:rsidR="00FB25C8">
        <w:rPr>
          <w:rFonts w:ascii="Times New Roman" w:hAnsi="Times New Roman"/>
          <w:sz w:val="30"/>
          <w:szCs w:val="30"/>
          <w:lang w:val="fr-FR"/>
        </w:rPr>
        <w:t xml:space="preserve"> remercie </w:t>
      </w:r>
      <w:r w:rsidR="00D03B60">
        <w:rPr>
          <w:rFonts w:ascii="Times New Roman" w:hAnsi="Times New Roman"/>
          <w:sz w:val="30"/>
          <w:szCs w:val="30"/>
          <w:lang w:val="fr-FR"/>
        </w:rPr>
        <w:t xml:space="preserve">le Tchad </w:t>
      </w:r>
      <w:r w:rsidR="00FB25C8">
        <w:rPr>
          <w:rFonts w:ascii="Times New Roman" w:hAnsi="Times New Roman"/>
          <w:sz w:val="30"/>
          <w:szCs w:val="30"/>
          <w:lang w:val="fr-FR"/>
        </w:rPr>
        <w:t>pour la présentation de son rapport</w:t>
      </w:r>
      <w:r w:rsidR="00D03B60">
        <w:rPr>
          <w:rFonts w:ascii="Times New Roman" w:hAnsi="Times New Roman"/>
          <w:sz w:val="30"/>
          <w:szCs w:val="30"/>
          <w:lang w:val="fr-FR"/>
        </w:rPr>
        <w:t xml:space="preserve"> national et se réjouit des avancées notables observées depuis son dernier passage devant le groupe de travail de </w:t>
      </w:r>
      <w:r w:rsidR="008730A6">
        <w:rPr>
          <w:rFonts w:ascii="Times New Roman" w:hAnsi="Times New Roman"/>
          <w:sz w:val="30"/>
          <w:szCs w:val="30"/>
          <w:lang w:val="fr-FR"/>
        </w:rPr>
        <w:t>l’EPU, notamment l’abolition de la peine de mort</w:t>
      </w:r>
      <w:r w:rsidR="007639FB">
        <w:rPr>
          <w:rFonts w:ascii="Times New Roman" w:hAnsi="Times New Roman"/>
          <w:sz w:val="30"/>
          <w:szCs w:val="30"/>
          <w:lang w:val="fr-FR"/>
        </w:rPr>
        <w:t xml:space="preserve">. </w:t>
      </w:r>
    </w:p>
    <w:p w14:paraId="7CAB282C" w14:textId="0C8C57C1" w:rsidR="00DB00C2" w:rsidRPr="007639FB" w:rsidRDefault="00DB00C2" w:rsidP="00DB00C2">
      <w:pPr>
        <w:jc w:val="both"/>
        <w:rPr>
          <w:rFonts w:ascii="Times New Roman" w:hAnsi="Times New Roman"/>
          <w:sz w:val="30"/>
          <w:szCs w:val="30"/>
        </w:rPr>
      </w:pPr>
    </w:p>
    <w:p w14:paraId="0736273F" w14:textId="7CDE1F95" w:rsidR="00854647" w:rsidRDefault="00854647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>Dans un esprit de dialogue constructif, mon pays voudrait faire les recommandations suivantes</w:t>
      </w:r>
      <w:r w:rsidR="00B3456C">
        <w:rPr>
          <w:rFonts w:ascii="Times New Roman" w:hAnsi="Times New Roman"/>
          <w:sz w:val="30"/>
          <w:szCs w:val="30"/>
          <w:lang w:val="fr-FR"/>
        </w:rPr>
        <w:t>,</w:t>
      </w:r>
      <w:r>
        <w:rPr>
          <w:rFonts w:ascii="Times New Roman" w:hAnsi="Times New Roman"/>
          <w:sz w:val="30"/>
          <w:szCs w:val="30"/>
          <w:lang w:val="fr-FR"/>
        </w:rPr>
        <w:t xml:space="preserve"> visant la consolidation de l’Etat de droit.</w:t>
      </w:r>
    </w:p>
    <w:p w14:paraId="0B0F3A8C" w14:textId="77777777" w:rsidR="00827505" w:rsidRDefault="00827505" w:rsidP="00827505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6245CA26" w14:textId="23DCD951" w:rsidR="00827505" w:rsidRPr="00327CD3" w:rsidRDefault="00827505" w:rsidP="00827505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 w:rsidRPr="00327CD3">
        <w:rPr>
          <w:rFonts w:ascii="Times New Roman" w:hAnsi="Times New Roman"/>
          <w:b/>
          <w:bCs/>
          <w:sz w:val="30"/>
          <w:szCs w:val="30"/>
          <w:lang w:val="fr-FR"/>
        </w:rPr>
        <w:t>Ratifier le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deuxième </w:t>
      </w:r>
      <w:r w:rsidRPr="00327CD3">
        <w:rPr>
          <w:rFonts w:ascii="Times New Roman" w:hAnsi="Times New Roman"/>
          <w:b/>
          <w:bCs/>
          <w:sz w:val="30"/>
          <w:szCs w:val="30"/>
          <w:lang w:val="fr-FR"/>
        </w:rPr>
        <w:t xml:space="preserve">Protocole facultatif 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>se rapportant</w:t>
      </w:r>
      <w:r w:rsidRPr="00327CD3">
        <w:rPr>
          <w:rFonts w:ascii="Times New Roman" w:hAnsi="Times New Roman"/>
          <w:b/>
          <w:bCs/>
          <w:sz w:val="30"/>
          <w:szCs w:val="30"/>
          <w:lang w:val="fr-FR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>au Pacte international relatif aux droits civils et politiques visant à abolir la peine de mort ;</w:t>
      </w:r>
    </w:p>
    <w:p w14:paraId="2A6903F9" w14:textId="77777777" w:rsidR="00827505" w:rsidRPr="00327CD3" w:rsidRDefault="00827505" w:rsidP="00827505">
      <w:pPr>
        <w:pStyle w:val="Paragraphedeliste"/>
        <w:ind w:left="440"/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</w:p>
    <w:p w14:paraId="15B72440" w14:textId="36CBE5AC" w:rsidR="00827505" w:rsidRPr="00C33348" w:rsidRDefault="00827505" w:rsidP="00C33348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>Garantir le respect des dispositions du code de procédure pénales encadrant les délais de garde à vue et de détention préventive et les droits des personnes faisant l’objet de ces mesures conformément aux normes et standards internationaux</w:t>
      </w:r>
      <w:r w:rsidRPr="00327CD3">
        <w:rPr>
          <w:rFonts w:ascii="Times New Roman" w:hAnsi="Times New Roman"/>
          <w:b/>
          <w:bCs/>
          <w:sz w:val="30"/>
          <w:szCs w:val="30"/>
          <w:lang w:val="fr-FR"/>
        </w:rPr>
        <w:t> ;</w:t>
      </w:r>
    </w:p>
    <w:p w14:paraId="05F2B9CE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4BCED519" w14:textId="4A72E855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sz w:val="30"/>
          <w:szCs w:val="30"/>
          <w:lang w:val="fr-FR" w:eastAsia="en-US" w:bidi="ar-SA"/>
        </w:rPr>
      </w:pPr>
      <w:r>
        <w:rPr>
          <w:rFonts w:ascii="Times New Roman" w:hAnsi="Times New Roman"/>
          <w:sz w:val="30"/>
          <w:szCs w:val="30"/>
          <w:lang w:val="fr-FR" w:eastAsia="en-US" w:bidi="ar-SA"/>
        </w:rPr>
        <w:t>Pour finir, nous souhaiton</w:t>
      </w:r>
      <w:r w:rsidR="003E7235">
        <w:rPr>
          <w:rFonts w:ascii="Times New Roman" w:hAnsi="Times New Roman"/>
          <w:sz w:val="30"/>
          <w:szCs w:val="30"/>
          <w:lang w:val="fr-FR" w:eastAsia="en-US" w:bidi="ar-SA"/>
        </w:rPr>
        <w:t>s</w:t>
      </w:r>
      <w:r>
        <w:rPr>
          <w:rFonts w:ascii="Times New Roman" w:hAnsi="Times New Roman"/>
          <w:sz w:val="30"/>
          <w:szCs w:val="30"/>
          <w:lang w:val="fr-FR" w:eastAsia="en-US" w:bidi="ar-SA"/>
        </w:rPr>
        <w:t xml:space="preserve"> </w:t>
      </w:r>
      <w:r w:rsidR="00E23663">
        <w:rPr>
          <w:rFonts w:ascii="Times New Roman" w:hAnsi="Times New Roman"/>
          <w:sz w:val="30"/>
          <w:szCs w:val="30"/>
          <w:lang w:val="fr-FR" w:eastAsia="en-US" w:bidi="ar-SA"/>
        </w:rPr>
        <w:t xml:space="preserve">beaucoup de réussite </w:t>
      </w:r>
      <w:r w:rsidR="001923D6">
        <w:rPr>
          <w:rFonts w:ascii="Times New Roman" w:hAnsi="Times New Roman"/>
          <w:sz w:val="30"/>
          <w:szCs w:val="30"/>
          <w:lang w:val="fr-FR" w:eastAsia="en-US" w:bidi="ar-SA"/>
        </w:rPr>
        <w:t>à</w:t>
      </w:r>
      <w:r w:rsidR="003E7235">
        <w:rPr>
          <w:rFonts w:ascii="Times New Roman" w:hAnsi="Times New Roman"/>
          <w:sz w:val="30"/>
          <w:szCs w:val="30"/>
          <w:lang w:val="fr-FR" w:eastAsia="en-US" w:bidi="ar-SA"/>
        </w:rPr>
        <w:t xml:space="preserve"> la délégation</w:t>
      </w:r>
      <w:r w:rsidR="00E30147">
        <w:rPr>
          <w:rFonts w:ascii="Times New Roman" w:hAnsi="Times New Roman"/>
          <w:sz w:val="30"/>
          <w:szCs w:val="30"/>
          <w:lang w:val="fr-FR" w:eastAsia="en-US" w:bidi="ar-SA"/>
        </w:rPr>
        <w:t xml:space="preserve"> </w:t>
      </w:r>
      <w:r w:rsidR="00A5453A">
        <w:rPr>
          <w:rFonts w:ascii="Times New Roman" w:hAnsi="Times New Roman"/>
          <w:sz w:val="30"/>
          <w:szCs w:val="30"/>
          <w:lang w:val="fr-FR" w:eastAsia="en-US" w:bidi="ar-SA"/>
        </w:rPr>
        <w:t>Tchadienne</w:t>
      </w:r>
      <w:r>
        <w:rPr>
          <w:rFonts w:ascii="Times New Roman" w:hAnsi="Times New Roman"/>
          <w:sz w:val="30"/>
          <w:szCs w:val="30"/>
          <w:lang w:val="fr-FR" w:eastAsia="en-US" w:bidi="ar-SA"/>
        </w:rPr>
        <w:t xml:space="preserve"> </w:t>
      </w:r>
      <w:r w:rsidR="00E23663">
        <w:rPr>
          <w:rFonts w:ascii="Times New Roman" w:hAnsi="Times New Roman"/>
          <w:sz w:val="30"/>
          <w:szCs w:val="30"/>
          <w:lang w:val="fr-FR" w:eastAsia="en-US" w:bidi="ar-SA"/>
        </w:rPr>
        <w:t>dans la mise en œuvre des recommandations issues du présent EPU.</w:t>
      </w:r>
    </w:p>
    <w:p w14:paraId="58D201F0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</w:pPr>
      <w:r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 xml:space="preserve">Je vous remercie </w:t>
      </w:r>
    </w:p>
    <w:p w14:paraId="1DDDE542" w14:textId="12284591" w:rsidR="00C33348" w:rsidRPr="00C33348" w:rsidRDefault="00C33348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color w:val="0070C0"/>
          <w:sz w:val="30"/>
          <w:szCs w:val="30"/>
          <w:lang w:eastAsia="en-US" w:bidi="ar-SA"/>
        </w:rPr>
      </w:pPr>
    </w:p>
    <w:p w14:paraId="18A85D67" w14:textId="77777777" w:rsidR="00E23663" w:rsidRDefault="00E23663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</w:pPr>
    </w:p>
    <w:p w14:paraId="0BA13692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color w:val="4472C4" w:themeColor="accent1"/>
          <w:sz w:val="30"/>
          <w:szCs w:val="30"/>
          <w:lang w:eastAsia="en-US" w:bidi="ar-SA"/>
        </w:rPr>
      </w:pPr>
    </w:p>
    <w:p w14:paraId="617E669D" w14:textId="77777777" w:rsidR="0022607C" w:rsidRDefault="0022607C"/>
    <w:sectPr w:rsidR="0022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default"/>
    <w:sig w:usb0="00000000" w:usb1="00000000" w:usb2="00000000" w:usb3="00000000" w:csb0="00000001" w:csb1="00000000"/>
  </w:font>
  <w:font w:name="WenQuanYi Micro Hei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8426C"/>
    <w:multiLevelType w:val="hybridMultilevel"/>
    <w:tmpl w:val="10BAFBFE"/>
    <w:lvl w:ilvl="0" w:tplc="164CC76C">
      <w:start w:val="1"/>
      <w:numFmt w:val="decimal"/>
      <w:lvlText w:val="%1-"/>
      <w:lvlJc w:val="left"/>
      <w:pPr>
        <w:ind w:left="80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20" w:hanging="360"/>
      </w:pPr>
    </w:lvl>
    <w:lvl w:ilvl="2" w:tplc="100C001B" w:tentative="1">
      <w:start w:val="1"/>
      <w:numFmt w:val="lowerRoman"/>
      <w:lvlText w:val="%3."/>
      <w:lvlJc w:val="right"/>
      <w:pPr>
        <w:ind w:left="2240" w:hanging="180"/>
      </w:pPr>
    </w:lvl>
    <w:lvl w:ilvl="3" w:tplc="100C000F" w:tentative="1">
      <w:start w:val="1"/>
      <w:numFmt w:val="decimal"/>
      <w:lvlText w:val="%4."/>
      <w:lvlJc w:val="left"/>
      <w:pPr>
        <w:ind w:left="2960" w:hanging="360"/>
      </w:pPr>
    </w:lvl>
    <w:lvl w:ilvl="4" w:tplc="100C0019" w:tentative="1">
      <w:start w:val="1"/>
      <w:numFmt w:val="lowerLetter"/>
      <w:lvlText w:val="%5."/>
      <w:lvlJc w:val="left"/>
      <w:pPr>
        <w:ind w:left="3680" w:hanging="360"/>
      </w:pPr>
    </w:lvl>
    <w:lvl w:ilvl="5" w:tplc="100C001B" w:tentative="1">
      <w:start w:val="1"/>
      <w:numFmt w:val="lowerRoman"/>
      <w:lvlText w:val="%6."/>
      <w:lvlJc w:val="right"/>
      <w:pPr>
        <w:ind w:left="4400" w:hanging="180"/>
      </w:pPr>
    </w:lvl>
    <w:lvl w:ilvl="6" w:tplc="100C000F" w:tentative="1">
      <w:start w:val="1"/>
      <w:numFmt w:val="decimal"/>
      <w:lvlText w:val="%7."/>
      <w:lvlJc w:val="left"/>
      <w:pPr>
        <w:ind w:left="5120" w:hanging="360"/>
      </w:pPr>
    </w:lvl>
    <w:lvl w:ilvl="7" w:tplc="100C0019" w:tentative="1">
      <w:start w:val="1"/>
      <w:numFmt w:val="lowerLetter"/>
      <w:lvlText w:val="%8."/>
      <w:lvlJc w:val="left"/>
      <w:pPr>
        <w:ind w:left="5840" w:hanging="360"/>
      </w:pPr>
    </w:lvl>
    <w:lvl w:ilvl="8" w:tplc="100C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66602DA7"/>
    <w:multiLevelType w:val="hybridMultilevel"/>
    <w:tmpl w:val="34F88106"/>
    <w:lvl w:ilvl="0" w:tplc="6728E3C2">
      <w:start w:val="1"/>
      <w:numFmt w:val="decimal"/>
      <w:lvlText w:val="%1-"/>
      <w:lvlJc w:val="left"/>
      <w:pPr>
        <w:ind w:left="644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82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51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F3"/>
    <w:rsid w:val="0014272F"/>
    <w:rsid w:val="001923D6"/>
    <w:rsid w:val="0022607C"/>
    <w:rsid w:val="002563E2"/>
    <w:rsid w:val="00261FB6"/>
    <w:rsid w:val="002757FF"/>
    <w:rsid w:val="002F02CB"/>
    <w:rsid w:val="003257F3"/>
    <w:rsid w:val="003E7235"/>
    <w:rsid w:val="00455A2A"/>
    <w:rsid w:val="004D371A"/>
    <w:rsid w:val="00514614"/>
    <w:rsid w:val="00624766"/>
    <w:rsid w:val="006327BD"/>
    <w:rsid w:val="00750A79"/>
    <w:rsid w:val="007639FB"/>
    <w:rsid w:val="00785184"/>
    <w:rsid w:val="007F1288"/>
    <w:rsid w:val="00827505"/>
    <w:rsid w:val="008539AC"/>
    <w:rsid w:val="00854647"/>
    <w:rsid w:val="008730A6"/>
    <w:rsid w:val="008E18C9"/>
    <w:rsid w:val="009913CA"/>
    <w:rsid w:val="00A32997"/>
    <w:rsid w:val="00A5453A"/>
    <w:rsid w:val="00A652E9"/>
    <w:rsid w:val="00AE20CB"/>
    <w:rsid w:val="00B3456C"/>
    <w:rsid w:val="00C33348"/>
    <w:rsid w:val="00CA24F5"/>
    <w:rsid w:val="00CD0EAA"/>
    <w:rsid w:val="00D03B60"/>
    <w:rsid w:val="00DA1470"/>
    <w:rsid w:val="00DB00C2"/>
    <w:rsid w:val="00E23663"/>
    <w:rsid w:val="00E30147"/>
    <w:rsid w:val="00F83D3E"/>
    <w:rsid w:val="00FB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7208"/>
  <w15:chartTrackingRefBased/>
  <w15:docId w15:val="{BE5279DF-5867-4E9D-95E2-C09C16D9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C2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rsid w:val="00DB0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DB00C2"/>
    <w:rPr>
      <w:rFonts w:ascii="Liberation Serif" w:eastAsia="Noto Sans CJK SC Regular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paragraph" w:styleId="Paragraphedeliste">
    <w:name w:val="List Paragraph"/>
    <w:basedOn w:val="Normal"/>
    <w:qFormat/>
    <w:rsid w:val="00DB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297F3A1-B6DE-4FDC-9043-7F561E6E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81527C-4DA5-40AB-8037-148843D69152}"/>
</file>

<file path=customXml/itemProps3.xml><?xml version="1.0" encoding="utf-8"?>
<ds:datastoreItem xmlns:ds="http://schemas.openxmlformats.org/officeDocument/2006/customXml" ds:itemID="{08F831F9-B3B1-4161-A275-AE52AF8F36BC}"/>
</file>

<file path=customXml/itemProps4.xml><?xml version="1.0" encoding="utf-8"?>
<ds:datastoreItem xmlns:ds="http://schemas.openxmlformats.org/officeDocument/2006/customXml" ds:itemID="{CB8024B3-F93E-4E94-AF5E-F914D8BD60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2024-01-28T09:52:00Z</dcterms:created>
  <dcterms:modified xsi:type="dcterms:W3CDTF">2024-01-28T17:44:00Z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