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269A" w14:textId="77777777" w:rsidR="00205427" w:rsidRPr="00205427" w:rsidRDefault="00205427" w:rsidP="00205427">
      <w:pPr>
        <w:tabs>
          <w:tab w:val="left" w:pos="1275"/>
        </w:tabs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noProof/>
          <w:kern w:val="0"/>
          <w:sz w:val="27"/>
          <w:szCs w:val="27"/>
        </w:rPr>
        <w:drawing>
          <wp:inline distT="0" distB="0" distL="0" distR="0" wp14:anchorId="3A88CF48" wp14:editId="2D84D5DF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99D8" w14:textId="77777777" w:rsidR="00205427" w:rsidRPr="00205427" w:rsidRDefault="00205427" w:rsidP="00205427">
      <w:pPr>
        <w:tabs>
          <w:tab w:val="left" w:pos="1275"/>
        </w:tabs>
        <w:spacing w:after="0" w:line="240" w:lineRule="auto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</w:p>
    <w:p w14:paraId="3CD6BA47" w14:textId="77777777" w:rsidR="00205427" w:rsidRPr="00205427" w:rsidRDefault="00205427" w:rsidP="00205427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>THE 45</w:t>
      </w: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vertAlign w:val="superscript"/>
          <w:lang w:val="en-GB"/>
          <w14:ligatures w14:val="none"/>
        </w:rPr>
        <w:t>TH</w:t>
      </w: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 xml:space="preserve"> SESSION OF THE WORKING GROUP ON UNIVERSAL   PERIODIC REVIEW (UPR)</w:t>
      </w:r>
    </w:p>
    <w:p w14:paraId="14B50239" w14:textId="179FDC03" w:rsidR="00205427" w:rsidRPr="00205427" w:rsidRDefault="00205427" w:rsidP="00205427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>KENYA’S STATEMENT O</w:t>
      </w:r>
      <w:r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>N CHAD</w:t>
      </w:r>
    </w:p>
    <w:p w14:paraId="7F2302AB" w14:textId="77777777" w:rsidR="00205427" w:rsidRPr="00205427" w:rsidRDefault="00000000" w:rsidP="00205427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pict w14:anchorId="3E030C7F">
          <v:rect id="_x0000_i1025" style="width:468pt;height:1.5pt" o:hralign="center" o:hrstd="t" o:hr="t" fillcolor="#a0a0a0" stroked="f"/>
        </w:pict>
      </w:r>
    </w:p>
    <w:p w14:paraId="7D2A62A3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</w:p>
    <w:p w14:paraId="5E17059E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>Thank you. Mr. President,</w:t>
      </w:r>
    </w:p>
    <w:p w14:paraId="343F68B9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</w:p>
    <w:p w14:paraId="7FA15160" w14:textId="00D9DA81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>Kenya warmly welcomes the high-level</w:t>
      </w:r>
      <w:r w:rsidR="00162A8F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 </w:t>
      </w: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distinguished delegation of the </w:t>
      </w:r>
      <w:r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>Republic of Chad</w:t>
      </w: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 to this 4</w:t>
      </w: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vertAlign w:val="superscript"/>
          <w:lang w:val="en-GB"/>
          <w14:ligatures w14:val="none"/>
        </w:rPr>
        <w:t>th</w:t>
      </w: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 Cycle of UPR process</w:t>
      </w:r>
      <w:r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 and take note of their national report.</w:t>
      </w:r>
    </w:p>
    <w:p w14:paraId="6ABBDDB6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</w:p>
    <w:p w14:paraId="4435897A" w14:textId="1B97A078" w:rsid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We applaud </w:t>
      </w:r>
      <w:r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Chad for measures taken in the promotion and protection of human rights, among them the adoption of the Universal Health Coverage Act of 2019 and domesticating some of the Conventions </w:t>
      </w:r>
      <w:r w:rsidR="00162A8F"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>ratified, including</w:t>
      </w:r>
      <w:r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 xml:space="preserve"> the UN Convention Against Torture.</w:t>
      </w:r>
    </w:p>
    <w:p w14:paraId="096E12F5" w14:textId="77777777" w:rsid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</w:p>
    <w:p w14:paraId="7F5FB49C" w14:textId="6881888E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  <w:t>Kenya urges Chad to continue to fully implement the outcomes of the Inclusive National Dialogue to achieve peace and national reconciliation.</w:t>
      </w:r>
    </w:p>
    <w:p w14:paraId="54E7D88C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Cs/>
          <w:kern w:val="0"/>
          <w:sz w:val="27"/>
          <w:szCs w:val="27"/>
          <w:lang w:val="en-GB"/>
          <w14:ligatures w14:val="none"/>
        </w:rPr>
      </w:pPr>
    </w:p>
    <w:p w14:paraId="5D6B5AC9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/>
          <w:kern w:val="0"/>
          <w:sz w:val="27"/>
          <w:szCs w:val="27"/>
          <w:lang w:val="en-GB"/>
          <w14:ligatures w14:val="none"/>
        </w:rPr>
        <w:t xml:space="preserve">In a constructive spirit, Kenya makes the following recommendations for consideration: </w:t>
      </w:r>
    </w:p>
    <w:p w14:paraId="7A86A862" w14:textId="77777777" w:rsidR="00205427" w:rsidRPr="00205427" w:rsidRDefault="00205427" w:rsidP="00205427">
      <w:pPr>
        <w:spacing w:after="0" w:line="240" w:lineRule="auto"/>
        <w:ind w:left="720"/>
        <w:contextualSpacing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</w:p>
    <w:p w14:paraId="34AE1A39" w14:textId="1AED616C" w:rsidR="00205427" w:rsidRDefault="0072079E" w:rsidP="002054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  <w:r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Consider </w:t>
      </w:r>
      <w:r w:rsidR="00205427" w:rsidRP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>Amend</w:t>
      </w:r>
      <w:r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>ing the</w:t>
      </w:r>
      <w:r w:rsidR="00205427" w:rsidRP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 Ordinance No. 45/62 on public</w:t>
      </w:r>
      <w:r w:rsid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 </w:t>
      </w:r>
      <w:r w:rsidR="00205427" w:rsidRP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>gatherings in order to bring them into line with international law</w:t>
      </w:r>
      <w:r w:rsid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 and standards.</w:t>
      </w:r>
    </w:p>
    <w:p w14:paraId="02D6CD47" w14:textId="77777777" w:rsidR="00205427" w:rsidRPr="00205427" w:rsidRDefault="00205427" w:rsidP="00205427">
      <w:pPr>
        <w:spacing w:after="0" w:line="240" w:lineRule="auto"/>
        <w:ind w:left="720"/>
        <w:contextualSpacing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</w:p>
    <w:p w14:paraId="540EF705" w14:textId="7E4EC380" w:rsidR="00205427" w:rsidRPr="0072079E" w:rsidRDefault="00205427" w:rsidP="002E77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kern w:val="0"/>
          <w:sz w:val="27"/>
          <w:szCs w:val="27"/>
          <w14:ligatures w14:val="none"/>
        </w:rPr>
        <w:t xml:space="preserve">Continue </w:t>
      </w:r>
      <w:r w:rsidR="0072079E" w:rsidRPr="0072079E">
        <w:rPr>
          <w:rFonts w:ascii="Book Antiqua" w:eastAsia="Calibri" w:hAnsi="Book Antiqua" w:cs="Times New Roman"/>
          <w:kern w:val="0"/>
          <w:sz w:val="27"/>
          <w:szCs w:val="27"/>
          <w14:ligatures w14:val="none"/>
        </w:rPr>
        <w:t xml:space="preserve">its </w:t>
      </w:r>
      <w:r w:rsidRPr="00205427">
        <w:rPr>
          <w:rFonts w:ascii="Book Antiqua" w:eastAsia="Calibri" w:hAnsi="Book Antiqua" w:cs="Times New Roman"/>
          <w:kern w:val="0"/>
          <w:sz w:val="27"/>
          <w:szCs w:val="27"/>
          <w14:ligatures w14:val="none"/>
        </w:rPr>
        <w:t>efforts to</w:t>
      </w:r>
      <w:r w:rsidR="0072079E">
        <w:rPr>
          <w:rFonts w:ascii="Book Antiqua" w:eastAsia="Calibri" w:hAnsi="Book Antiqua" w:cs="Times New Roman"/>
          <w:kern w:val="0"/>
          <w:sz w:val="27"/>
          <w:szCs w:val="27"/>
          <w14:ligatures w14:val="none"/>
        </w:rPr>
        <w:t xml:space="preserve"> improve the economic wellbeing of persons living in rural areas, by increasing funding on agriculture production projects.</w:t>
      </w:r>
    </w:p>
    <w:p w14:paraId="3F1383D6" w14:textId="77777777" w:rsidR="0072079E" w:rsidRPr="00205427" w:rsidRDefault="0072079E" w:rsidP="0072079E">
      <w:pPr>
        <w:spacing w:after="0" w:line="240" w:lineRule="auto"/>
        <w:contextualSpacing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</w:p>
    <w:p w14:paraId="3B170DE6" w14:textId="17D62535" w:rsidR="00205427" w:rsidRPr="00205427" w:rsidRDefault="00205427" w:rsidP="00205427">
      <w:pPr>
        <w:spacing w:line="240" w:lineRule="auto"/>
        <w:jc w:val="both"/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We wish the delegation of the </w:t>
      </w:r>
      <w:r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>Republic of Chad</w:t>
      </w:r>
      <w:r w:rsidRPr="00205427">
        <w:rPr>
          <w:rFonts w:ascii="Book Antiqua" w:eastAsia="Calibri" w:hAnsi="Book Antiqua" w:cs="Times New Roman"/>
          <w:kern w:val="0"/>
          <w:sz w:val="27"/>
          <w:szCs w:val="27"/>
          <w:lang w:val="en-GB"/>
          <w14:ligatures w14:val="none"/>
        </w:rPr>
        <w:t xml:space="preserve"> a very successful UPR process.</w:t>
      </w:r>
    </w:p>
    <w:p w14:paraId="1B80B356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kern w:val="0"/>
          <w:sz w:val="27"/>
          <w:szCs w:val="27"/>
          <w:lang w:val="en-GB"/>
          <w14:ligatures w14:val="none"/>
        </w:rPr>
      </w:pPr>
    </w:p>
    <w:p w14:paraId="336C9FD1" w14:textId="77777777" w:rsidR="00205427" w:rsidRPr="00205427" w:rsidRDefault="00205427" w:rsidP="00205427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kern w:val="0"/>
          <w:sz w:val="27"/>
          <w:szCs w:val="27"/>
          <w:lang w:val="en-GB"/>
          <w14:ligatures w14:val="none"/>
        </w:rPr>
      </w:pPr>
      <w:r w:rsidRPr="00205427">
        <w:rPr>
          <w:rFonts w:ascii="Book Antiqua" w:eastAsia="Calibri" w:hAnsi="Book Antiqua" w:cs="Times New Roman"/>
          <w:b/>
          <w:bCs/>
          <w:kern w:val="0"/>
          <w:sz w:val="27"/>
          <w:szCs w:val="27"/>
          <w:lang w:val="en-GB"/>
          <w14:ligatures w14:val="none"/>
        </w:rPr>
        <w:t>I thank you.</w:t>
      </w:r>
    </w:p>
    <w:p w14:paraId="693BE9E4" w14:textId="77777777" w:rsidR="00205427" w:rsidRPr="00205427" w:rsidRDefault="00205427" w:rsidP="00205427">
      <w:pPr>
        <w:spacing w:line="276" w:lineRule="auto"/>
        <w:rPr>
          <w:rFonts w:ascii="Aptos" w:eastAsia="Aptos" w:hAnsi="Aptos" w:cs="Times New Roman"/>
          <w:sz w:val="24"/>
          <w:szCs w:val="24"/>
        </w:rPr>
      </w:pPr>
    </w:p>
    <w:sectPr w:rsidR="00205427" w:rsidRPr="0020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699"/>
    <w:multiLevelType w:val="hybridMultilevel"/>
    <w:tmpl w:val="853A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99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27"/>
    <w:rsid w:val="00162A8F"/>
    <w:rsid w:val="00205427"/>
    <w:rsid w:val="0072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EDF2"/>
  <w15:chartTrackingRefBased/>
  <w15:docId w15:val="{B5BB261D-B16F-4E18-A5DB-0E7AF555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F8DDD4-EB3E-43A9-B867-54D792935300}"/>
</file>

<file path=customXml/itemProps2.xml><?xml version="1.0" encoding="utf-8"?>
<ds:datastoreItem xmlns:ds="http://schemas.openxmlformats.org/officeDocument/2006/customXml" ds:itemID="{739C0E46-1FC0-451E-AA9C-D71240F5A71B}"/>
</file>

<file path=customXml/itemProps3.xml><?xml version="1.0" encoding="utf-8"?>
<ds:datastoreItem xmlns:ds="http://schemas.openxmlformats.org/officeDocument/2006/customXml" ds:itemID="{9C2C4593-C23B-4478-8398-65029E061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Titus Maki</dc:creator>
  <cp:keywords/>
  <dc:description/>
  <cp:lastModifiedBy>Titus Maki</cp:lastModifiedBy>
  <cp:revision>3</cp:revision>
  <dcterms:created xsi:type="dcterms:W3CDTF">2024-01-29T10:43:00Z</dcterms:created>
  <dcterms:modified xsi:type="dcterms:W3CDTF">2024-01-29T11:16:00Z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