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695" w:rsidRDefault="00C97695" w:rsidP="00C97695">
      <w:pPr>
        <w:pStyle w:val="Sansinterligne"/>
        <w:suppressAutoHyphens w:val="0"/>
        <w:ind w:left="720"/>
        <w:jc w:val="center"/>
        <w:rPr>
          <w:rFonts w:ascii="Arial Narrow" w:hAnsi="Arial Narrow" w:cs="Arial"/>
          <w:b/>
          <w:sz w:val="28"/>
          <w:szCs w:val="28"/>
          <w:u w:val="single"/>
          <w:lang w:val="fr-CH"/>
        </w:rPr>
      </w:pPr>
      <w:bookmarkStart w:id="0" w:name="_GoBack"/>
      <w:bookmarkEnd w:id="0"/>
      <w:r>
        <w:rPr>
          <w:rFonts w:ascii="Arial Narrow" w:hAnsi="Arial Narrow" w:cs="Arial"/>
          <w:b/>
          <w:bCs/>
          <w:sz w:val="28"/>
          <w:szCs w:val="28"/>
          <w:u w:val="single"/>
          <w:lang w:val="fr-CH"/>
        </w:rPr>
        <w:t>M. MAKAILA N’GUEBLA</w:t>
      </w:r>
      <w:r>
        <w:rPr>
          <w:rFonts w:ascii="Arial Narrow" w:hAnsi="Arial Narrow" w:cs="Arial"/>
          <w:b/>
          <w:sz w:val="28"/>
          <w:szCs w:val="28"/>
          <w:u w:val="single"/>
          <w:lang w:val="fr-CH"/>
        </w:rPr>
        <w:t>, Conseiller aux Droits Humains du Président de la République</w:t>
      </w:r>
    </w:p>
    <w:p w:rsidR="00C97695" w:rsidRDefault="00C97695" w:rsidP="00C97695">
      <w:pPr>
        <w:spacing w:after="0" w:line="240" w:lineRule="auto"/>
        <w:jc w:val="both"/>
        <w:rPr>
          <w:rFonts w:asciiTheme="minorBidi" w:hAnsiTheme="minorBidi" w:cstheme="minorBidi"/>
          <w:b/>
          <w:sz w:val="24"/>
          <w:szCs w:val="24"/>
          <w:lang w:val="fr-CH"/>
        </w:rPr>
      </w:pPr>
    </w:p>
    <w:p w:rsidR="00C97695" w:rsidRDefault="00C97695" w:rsidP="00C97695">
      <w:pPr>
        <w:spacing w:after="0" w:line="240" w:lineRule="auto"/>
        <w:jc w:val="both"/>
        <w:rPr>
          <w:rFonts w:ascii="Arial Narrow" w:hAnsi="Arial Narrow" w:cstheme="minorBidi"/>
          <w:b/>
          <w:sz w:val="28"/>
          <w:szCs w:val="28"/>
          <w:lang w:val="fr-CA"/>
        </w:rPr>
      </w:pPr>
    </w:p>
    <w:p w:rsidR="00C97695" w:rsidRDefault="00C97695" w:rsidP="00C97695">
      <w:pPr>
        <w:spacing w:after="0" w:line="240" w:lineRule="auto"/>
        <w:jc w:val="both"/>
        <w:rPr>
          <w:rFonts w:ascii="Arial Narrow" w:hAnsi="Arial Narrow" w:cstheme="minorBidi"/>
          <w:sz w:val="28"/>
          <w:szCs w:val="28"/>
          <w:lang w:val="fr-CA"/>
        </w:rPr>
      </w:pPr>
      <w:r>
        <w:rPr>
          <w:rFonts w:ascii="Arial Narrow" w:hAnsi="Arial Narrow" w:cstheme="minorBidi"/>
          <w:b/>
          <w:sz w:val="28"/>
          <w:szCs w:val="28"/>
          <w:u w:val="single"/>
          <w:lang w:val="fr-CA"/>
        </w:rPr>
        <w:t>La Commission Nationale des Droits de l’Homme (CNDH)</w:t>
      </w:r>
      <w:r>
        <w:rPr>
          <w:rFonts w:ascii="Arial Narrow" w:hAnsi="Arial Narrow" w:cstheme="minorBidi"/>
          <w:sz w:val="28"/>
          <w:szCs w:val="28"/>
          <w:lang w:val="fr-CA"/>
        </w:rPr>
        <w:t xml:space="preserve"> est instituée au Tchad par la loi n° 028 du 22 novembre 2018, définissant ses attributions, son organisation et son fonctionnement conformément aux Principes de Paris.  Érigée au rang des Grandes Institutions de la République, elle est une autorité administrative et indépendante, chargée de promouvoir la protection des Droits de l’Homme et des libertés </w:t>
      </w:r>
      <w:r>
        <w:rPr>
          <w:rFonts w:ascii="Arial Narrow" w:hAnsi="Arial Narrow" w:cstheme="minorBidi"/>
          <w:sz w:val="28"/>
          <w:szCs w:val="28"/>
          <w:lang w:val="fr-FR"/>
        </w:rPr>
        <w:t>fondamentales</w:t>
      </w:r>
      <w:r>
        <w:rPr>
          <w:rFonts w:ascii="Arial Narrow" w:hAnsi="Arial Narrow" w:cstheme="minorBidi"/>
          <w:sz w:val="28"/>
          <w:szCs w:val="28"/>
          <w:lang w:val="fr-CA"/>
        </w:rPr>
        <w:t xml:space="preserve">.  Elle jouit d’une personnalité morale et d’une autonomie financière. </w:t>
      </w:r>
    </w:p>
    <w:p w:rsidR="00C97695" w:rsidRDefault="00C97695" w:rsidP="00C97695">
      <w:pPr>
        <w:spacing w:after="0" w:line="240" w:lineRule="auto"/>
        <w:jc w:val="both"/>
        <w:rPr>
          <w:rFonts w:ascii="Arial Narrow" w:hAnsi="Arial Narrow" w:cstheme="minorBidi"/>
          <w:sz w:val="28"/>
          <w:szCs w:val="28"/>
          <w:lang w:val="fr-CA"/>
        </w:rPr>
      </w:pPr>
    </w:p>
    <w:p w:rsidR="00C97695" w:rsidRDefault="00C97695" w:rsidP="00C97695">
      <w:pPr>
        <w:spacing w:after="0" w:line="240" w:lineRule="auto"/>
        <w:jc w:val="both"/>
        <w:rPr>
          <w:rFonts w:ascii="Arial Narrow" w:hAnsi="Arial Narrow" w:cstheme="minorBidi"/>
          <w:sz w:val="28"/>
          <w:szCs w:val="28"/>
          <w:lang w:val="fr-CA"/>
        </w:rPr>
      </w:pPr>
      <w:r>
        <w:rPr>
          <w:rFonts w:ascii="Arial Narrow" w:hAnsi="Arial Narrow" w:cstheme="minorBidi"/>
          <w:sz w:val="28"/>
          <w:szCs w:val="28"/>
          <w:lang w:val="fr-CA"/>
        </w:rPr>
        <w:t>Au titre du Décret n° 0014 portant répartition de crédit pour l’exercice 2024, la Commission Nationale des Droits de l’Homme dispose d’un budget de 1 444. 974. 020 francs CFA reparti en dépenses de personnel, de biens et services, de transfert et d’investissements.</w:t>
      </w:r>
    </w:p>
    <w:p w:rsidR="00C97695" w:rsidRDefault="00C97695" w:rsidP="00C97695">
      <w:pPr>
        <w:spacing w:after="0" w:line="240" w:lineRule="auto"/>
        <w:jc w:val="both"/>
        <w:rPr>
          <w:rFonts w:ascii="Arial Narrow" w:hAnsi="Arial Narrow" w:cstheme="minorBidi"/>
          <w:sz w:val="28"/>
          <w:szCs w:val="28"/>
          <w:lang w:val="fr-CA"/>
        </w:rPr>
      </w:pPr>
    </w:p>
    <w:p w:rsidR="00C97695" w:rsidRDefault="00C97695" w:rsidP="00C97695">
      <w:pPr>
        <w:spacing w:after="0" w:line="240" w:lineRule="auto"/>
        <w:jc w:val="both"/>
        <w:rPr>
          <w:rFonts w:ascii="Arial Narrow" w:hAnsi="Arial Narrow" w:cstheme="minorBidi"/>
          <w:sz w:val="28"/>
          <w:szCs w:val="28"/>
          <w:lang w:val="fr-CA"/>
        </w:rPr>
      </w:pPr>
      <w:r>
        <w:rPr>
          <w:rFonts w:ascii="Arial Narrow" w:hAnsi="Arial Narrow" w:cstheme="minorBidi"/>
          <w:sz w:val="28"/>
          <w:szCs w:val="28"/>
          <w:lang w:val="fr-CA"/>
        </w:rPr>
        <w:t xml:space="preserve">Pour mener à bien sa mission, tous les services de l’État sont tenus, en vertu de l’article 2 alinéa 3 de la Loi n° 28 précitée, de lui accorder toute assistance </w:t>
      </w:r>
      <w:r>
        <w:rPr>
          <w:rFonts w:ascii="Arial Narrow" w:hAnsi="Arial Narrow" w:cstheme="minorBidi"/>
          <w:sz w:val="28"/>
          <w:szCs w:val="28"/>
          <w:lang w:val="fr-FR"/>
        </w:rPr>
        <w:t xml:space="preserve">nécessaire dont elle a besoin. La </w:t>
      </w:r>
      <w:proofErr w:type="spellStart"/>
      <w:r>
        <w:rPr>
          <w:rFonts w:ascii="Arial Narrow" w:hAnsi="Arial Narrow" w:cstheme="minorBidi"/>
          <w:sz w:val="28"/>
          <w:szCs w:val="28"/>
          <w:lang w:val="fr-FR"/>
        </w:rPr>
        <w:t>Cndh</w:t>
      </w:r>
      <w:proofErr w:type="spellEnd"/>
      <w:r>
        <w:rPr>
          <w:rFonts w:ascii="Arial Narrow" w:hAnsi="Arial Narrow" w:cstheme="minorBidi"/>
          <w:sz w:val="28"/>
          <w:szCs w:val="28"/>
          <w:lang w:val="fr-FR"/>
        </w:rPr>
        <w:t xml:space="preserve"> a accès à tous les centres de détention du pays. Elle </w:t>
      </w:r>
      <w:r>
        <w:rPr>
          <w:rFonts w:ascii="Arial Narrow" w:hAnsi="Arial Narrow" w:cstheme="minorBidi"/>
          <w:sz w:val="28"/>
          <w:szCs w:val="28"/>
          <w:lang w:val="fr-CA"/>
        </w:rPr>
        <w:t>mène, en toute indépendance ses enquêtes et rend public ses rapports suivant sa procédure interne.</w:t>
      </w:r>
    </w:p>
    <w:p w:rsidR="00C97695" w:rsidRDefault="00C97695" w:rsidP="00C97695">
      <w:pPr>
        <w:spacing w:after="0" w:line="240" w:lineRule="auto"/>
        <w:jc w:val="both"/>
        <w:rPr>
          <w:rFonts w:ascii="Arial Narrow" w:hAnsi="Arial Narrow" w:cstheme="minorBidi"/>
          <w:sz w:val="28"/>
          <w:szCs w:val="28"/>
          <w:lang w:val="fr-CA"/>
        </w:rPr>
      </w:pPr>
    </w:p>
    <w:p w:rsidR="00C97695" w:rsidRDefault="00C97695" w:rsidP="00C97695">
      <w:pPr>
        <w:spacing w:after="0" w:line="240" w:lineRule="auto"/>
        <w:contextualSpacing/>
        <w:jc w:val="both"/>
        <w:rPr>
          <w:rFonts w:ascii="Arial Narrow" w:hAnsi="Arial Narrow" w:cstheme="minorBidi"/>
          <w:sz w:val="28"/>
          <w:szCs w:val="28"/>
          <w:lang w:val="fr-CA"/>
        </w:rPr>
      </w:pPr>
      <w:r>
        <w:rPr>
          <w:rFonts w:ascii="Arial Narrow" w:hAnsi="Arial Narrow" w:cstheme="minorBidi"/>
          <w:sz w:val="28"/>
          <w:szCs w:val="28"/>
          <w:lang w:val="fr-CA"/>
        </w:rPr>
        <w:t>La CNDH est composée de onze (11) nommés Commissaires dont au moins quatre (4) femmes. A ce jour, la CNDH assume pleinement et indépendamment sa mission.</w:t>
      </w:r>
    </w:p>
    <w:p w:rsidR="00C97695" w:rsidRDefault="00C97695" w:rsidP="00C97695">
      <w:pPr>
        <w:spacing w:after="0" w:line="240" w:lineRule="auto"/>
        <w:contextualSpacing/>
        <w:jc w:val="both"/>
        <w:rPr>
          <w:rFonts w:ascii="Arial Narrow" w:hAnsi="Arial Narrow" w:cstheme="minorBidi"/>
          <w:sz w:val="28"/>
          <w:szCs w:val="28"/>
          <w:lang w:val="fr-CA"/>
        </w:rPr>
      </w:pPr>
    </w:p>
    <w:p w:rsidR="00C97695" w:rsidRDefault="00C97695" w:rsidP="00C97695">
      <w:pPr>
        <w:spacing w:after="0" w:line="240" w:lineRule="auto"/>
        <w:contextualSpacing/>
        <w:jc w:val="both"/>
        <w:rPr>
          <w:rFonts w:ascii="Arial Narrow" w:eastAsiaTheme="minorHAnsi" w:hAnsi="Arial Narrow"/>
          <w:b/>
          <w:sz w:val="28"/>
          <w:szCs w:val="28"/>
          <w:u w:val="single"/>
          <w:lang w:val="fr-CH"/>
        </w:rPr>
      </w:pPr>
    </w:p>
    <w:p w:rsidR="00C97695" w:rsidRDefault="00C97695" w:rsidP="00C97695">
      <w:pPr>
        <w:spacing w:after="0" w:line="240" w:lineRule="auto"/>
        <w:jc w:val="both"/>
        <w:rPr>
          <w:rFonts w:ascii="Arial Narrow" w:hAnsi="Arial Narrow"/>
          <w:b/>
          <w:sz w:val="28"/>
          <w:szCs w:val="28"/>
          <w:lang w:val="fr-CH"/>
        </w:rPr>
      </w:pPr>
      <w:r>
        <w:rPr>
          <w:rFonts w:ascii="Arial Narrow" w:hAnsi="Arial Narrow"/>
          <w:b/>
          <w:sz w:val="28"/>
          <w:szCs w:val="28"/>
          <w:u w:val="single"/>
          <w:lang w:val="fr-CH"/>
        </w:rPr>
        <w:t>Liberté d’expression et la protection des journalistes</w:t>
      </w:r>
      <w:r>
        <w:rPr>
          <w:rFonts w:ascii="Arial Narrow" w:hAnsi="Arial Narrow"/>
          <w:b/>
          <w:sz w:val="28"/>
          <w:szCs w:val="28"/>
          <w:lang w:val="fr-CH"/>
        </w:rPr>
        <w:t> </w:t>
      </w:r>
    </w:p>
    <w:p w:rsidR="00C97695" w:rsidRDefault="00C97695" w:rsidP="00C97695">
      <w:pPr>
        <w:spacing w:before="120" w:after="0" w:line="240" w:lineRule="auto"/>
        <w:jc w:val="both"/>
        <w:rPr>
          <w:rFonts w:ascii="Arial Narrow" w:eastAsia="Times New Roman" w:hAnsi="Arial Narrow" w:cstheme="minorBidi"/>
          <w:sz w:val="28"/>
          <w:szCs w:val="28"/>
          <w:lang w:val="fr-FR" w:eastAsia="fr-FR"/>
        </w:rPr>
      </w:pPr>
      <w:r>
        <w:rPr>
          <w:rFonts w:ascii="Arial Narrow" w:eastAsia="Times New Roman" w:hAnsi="Arial Narrow" w:cstheme="minorBidi"/>
          <w:sz w:val="28"/>
          <w:szCs w:val="28"/>
          <w:lang w:val="fr-FR" w:eastAsia="fr-FR"/>
        </w:rPr>
        <w:t xml:space="preserve">Au Tchad, la presse est régie par la loi n° 020/PR/2018 du 10 janvier 2019 relative à la communication audiovisuelle au Tchad et la Loi n° 31/PR/2018 du 3 décembre 2018 portant ratification de l’Ordonnance n° 025/ PR/2018 relative au régime de la presse écrite et des media électroniques. </w:t>
      </w:r>
    </w:p>
    <w:p w:rsidR="00C97695" w:rsidRDefault="00C97695" w:rsidP="00C97695">
      <w:pPr>
        <w:spacing w:after="0" w:line="240" w:lineRule="auto"/>
        <w:jc w:val="both"/>
        <w:rPr>
          <w:rFonts w:ascii="Arial Narrow" w:eastAsia="Times New Roman" w:hAnsi="Arial Narrow" w:cstheme="minorBidi"/>
          <w:sz w:val="28"/>
          <w:szCs w:val="28"/>
          <w:lang w:val="fr-FR" w:eastAsia="fr-FR"/>
        </w:rPr>
      </w:pPr>
    </w:p>
    <w:p w:rsidR="00C97695" w:rsidRDefault="00C97695" w:rsidP="00C97695">
      <w:pPr>
        <w:spacing w:after="0" w:line="240" w:lineRule="auto"/>
        <w:jc w:val="both"/>
        <w:rPr>
          <w:rFonts w:ascii="Arial Narrow" w:eastAsia="Times New Roman" w:hAnsi="Arial Narrow" w:cstheme="minorBidi"/>
          <w:sz w:val="28"/>
          <w:szCs w:val="28"/>
          <w:lang w:val="fr-FR" w:eastAsia="fr-FR"/>
        </w:rPr>
      </w:pPr>
      <w:r>
        <w:rPr>
          <w:rFonts w:ascii="Arial Narrow" w:eastAsia="Times New Roman" w:hAnsi="Arial Narrow" w:cstheme="minorBidi"/>
          <w:sz w:val="28"/>
          <w:szCs w:val="28"/>
          <w:lang w:val="fr-FR" w:eastAsia="fr-FR"/>
        </w:rPr>
        <w:t>Ces lois offrent une panoplie de liberté aux médias qui jouent pleinement leurs rôles dans cette phase de transition. Il est vrai que des demandes de modification de certaines dispositions de ces lois ont été formulées. Elles portent essentiellement sur la qualité requise pour être Directeur de publication ou Rédacteur en chef d’un organe de presse.</w:t>
      </w:r>
    </w:p>
    <w:p w:rsidR="00C97695" w:rsidRDefault="00C97695" w:rsidP="00C97695">
      <w:pPr>
        <w:spacing w:after="0" w:line="240" w:lineRule="auto"/>
        <w:jc w:val="both"/>
        <w:rPr>
          <w:rFonts w:ascii="Arial Narrow" w:eastAsia="Times New Roman" w:hAnsi="Arial Narrow" w:cstheme="minorBidi"/>
          <w:sz w:val="28"/>
          <w:szCs w:val="28"/>
          <w:lang w:val="fr-FR" w:eastAsia="fr-FR"/>
        </w:rPr>
      </w:pPr>
    </w:p>
    <w:p w:rsidR="00C97695" w:rsidRDefault="00C97695" w:rsidP="00C97695">
      <w:pPr>
        <w:spacing w:after="0" w:line="240" w:lineRule="auto"/>
        <w:jc w:val="both"/>
        <w:rPr>
          <w:rFonts w:ascii="Arial Narrow" w:eastAsia="Times New Roman" w:hAnsi="Arial Narrow" w:cstheme="minorBidi"/>
          <w:sz w:val="28"/>
          <w:szCs w:val="28"/>
          <w:lang w:val="fr-FR" w:eastAsia="fr-FR"/>
        </w:rPr>
      </w:pPr>
      <w:r>
        <w:rPr>
          <w:rFonts w:ascii="Arial Narrow" w:eastAsia="Times New Roman" w:hAnsi="Arial Narrow" w:cstheme="minorBidi"/>
          <w:sz w:val="28"/>
          <w:szCs w:val="28"/>
          <w:lang w:val="fr-FR" w:eastAsia="fr-FR"/>
        </w:rPr>
        <w:t>Dans sa volonté d’œuvrer pour un retour à l’ordre constitutionnel, le Gouvernement de la République du Tchad accèdera à ces demandes en considération des enjeux de stabilité et de la cohabitation pacifique sans lesquelles le développement socioéconomique que l’ensemble de nos compatriotes appellent de tous leurs vœux ne sera pas possible. En attendant leur examen, nous pouvons affirmer que les dispositions de ces lois n’entravent en rien l’exercice du métier de journalisme au Tchad.</w:t>
      </w:r>
    </w:p>
    <w:p w:rsidR="00C97695" w:rsidRDefault="00C97695" w:rsidP="00C97695">
      <w:pPr>
        <w:spacing w:after="0" w:line="240" w:lineRule="auto"/>
        <w:contextualSpacing/>
        <w:jc w:val="both"/>
        <w:rPr>
          <w:rFonts w:ascii="Arial Narrow" w:hAnsi="Arial Narrow" w:cstheme="minorBidi"/>
          <w:sz w:val="28"/>
          <w:szCs w:val="28"/>
          <w:lang w:val="fr-FR"/>
        </w:rPr>
      </w:pPr>
    </w:p>
    <w:p w:rsidR="00C97695" w:rsidRDefault="00C97695" w:rsidP="00C97695">
      <w:pPr>
        <w:suppressAutoHyphens w:val="0"/>
        <w:spacing w:after="0" w:line="240" w:lineRule="auto"/>
        <w:ind w:left="360"/>
        <w:contextualSpacing/>
        <w:jc w:val="both"/>
        <w:rPr>
          <w:rFonts w:ascii="Arial Narrow" w:eastAsia="Times New Roman" w:hAnsi="Arial Narrow" w:cstheme="majorBidi"/>
          <w:sz w:val="28"/>
          <w:szCs w:val="28"/>
          <w:lang w:val="fr-FR"/>
        </w:rPr>
      </w:pPr>
      <w:r>
        <w:rPr>
          <w:rFonts w:ascii="Arial Narrow" w:eastAsiaTheme="minorHAnsi" w:hAnsi="Arial Narrow"/>
          <w:b/>
          <w:sz w:val="28"/>
          <w:szCs w:val="28"/>
          <w:u w:val="single"/>
          <w:lang w:val="fr-CH"/>
        </w:rPr>
        <w:lastRenderedPageBreak/>
        <w:t>Les Mécanisme ou processus national en charge de la coordination de la mise en œuvre des recommandations</w:t>
      </w:r>
    </w:p>
    <w:p w:rsidR="00C97695" w:rsidRDefault="00C97695" w:rsidP="00C97695">
      <w:pPr>
        <w:suppressAutoHyphens w:val="0"/>
        <w:spacing w:after="0" w:line="240" w:lineRule="auto"/>
        <w:ind w:left="360"/>
        <w:contextualSpacing/>
        <w:jc w:val="both"/>
        <w:rPr>
          <w:rFonts w:ascii="Arial Narrow" w:eastAsia="Times New Roman" w:hAnsi="Arial Narrow" w:cstheme="majorBidi"/>
          <w:sz w:val="28"/>
          <w:szCs w:val="28"/>
          <w:lang w:val="fr-FR"/>
        </w:rPr>
      </w:pPr>
    </w:p>
    <w:p w:rsidR="00C97695" w:rsidRDefault="00C97695" w:rsidP="00C97695">
      <w:pPr>
        <w:suppressAutoHyphens w:val="0"/>
        <w:spacing w:after="0" w:line="240" w:lineRule="auto"/>
        <w:ind w:left="360"/>
        <w:contextualSpacing/>
        <w:jc w:val="both"/>
        <w:rPr>
          <w:rFonts w:ascii="Arial Narrow" w:eastAsia="Times New Roman" w:hAnsi="Arial Narrow"/>
          <w:sz w:val="28"/>
          <w:szCs w:val="28"/>
          <w:lang w:val="fr-CH" w:eastAsia="fr-CH"/>
        </w:rPr>
      </w:pPr>
      <w:r>
        <w:rPr>
          <w:rFonts w:ascii="Arial Narrow" w:eastAsia="Times New Roman" w:hAnsi="Arial Narrow"/>
          <w:sz w:val="28"/>
          <w:szCs w:val="28"/>
          <w:lang w:val="fr-CH" w:eastAsia="fr-CH"/>
        </w:rPr>
        <w:t xml:space="preserve">Le Tchad dispose d’un mécanisme de la coordination de la mise en œuvre des recommandations. En effet, par Arrêté n° 4954 du 03 juin 2022, du premier ministre de transition, il est créé un Comité Interministériel de Suivi des Instruments Internationaux en matière des droits de l’Homme et de Rédaction des Rapports dus aux Organes des Traités. </w:t>
      </w:r>
    </w:p>
    <w:p w:rsidR="00C97695" w:rsidRDefault="00C97695" w:rsidP="00C97695">
      <w:pPr>
        <w:suppressAutoHyphens w:val="0"/>
        <w:spacing w:after="0" w:line="240" w:lineRule="auto"/>
        <w:ind w:left="360"/>
        <w:contextualSpacing/>
        <w:jc w:val="both"/>
        <w:rPr>
          <w:rFonts w:ascii="Arial Narrow" w:eastAsia="Times New Roman" w:hAnsi="Arial Narrow" w:cstheme="majorBidi"/>
          <w:sz w:val="28"/>
          <w:szCs w:val="28"/>
          <w:lang w:val="fr-CH"/>
        </w:rPr>
      </w:pPr>
    </w:p>
    <w:p w:rsidR="00C97695" w:rsidRDefault="00C97695" w:rsidP="00C97695">
      <w:pPr>
        <w:suppressAutoHyphens w:val="0"/>
        <w:spacing w:after="0" w:line="240" w:lineRule="auto"/>
        <w:ind w:left="360"/>
        <w:contextualSpacing/>
        <w:jc w:val="both"/>
        <w:rPr>
          <w:rFonts w:ascii="Arial Narrow" w:eastAsia="Times New Roman" w:hAnsi="Arial Narrow"/>
          <w:sz w:val="28"/>
          <w:szCs w:val="28"/>
          <w:lang w:val="fr-CH" w:eastAsia="fr-CH"/>
        </w:rPr>
      </w:pPr>
      <w:r>
        <w:rPr>
          <w:rFonts w:ascii="Arial Narrow" w:eastAsia="Times New Roman" w:hAnsi="Arial Narrow"/>
          <w:sz w:val="28"/>
          <w:szCs w:val="28"/>
          <w:lang w:val="fr-CH" w:eastAsia="fr-CH"/>
        </w:rPr>
        <w:t xml:space="preserve">A ce titre, il est chargé de : </w:t>
      </w:r>
    </w:p>
    <w:p w:rsidR="00C97695" w:rsidRDefault="00C97695" w:rsidP="00C97695">
      <w:pPr>
        <w:numPr>
          <w:ilvl w:val="0"/>
          <w:numId w:val="1"/>
        </w:numPr>
        <w:suppressAutoHyphens w:val="0"/>
        <w:spacing w:before="120" w:after="120" w:line="240" w:lineRule="auto"/>
        <w:jc w:val="both"/>
        <w:rPr>
          <w:rFonts w:ascii="Arial Narrow" w:eastAsia="Times New Roman" w:hAnsi="Arial Narrow"/>
          <w:sz w:val="28"/>
          <w:szCs w:val="28"/>
          <w:lang w:val="fr-CH" w:eastAsia="fr-CH"/>
        </w:rPr>
      </w:pPr>
      <w:r>
        <w:rPr>
          <w:rFonts w:ascii="Arial Narrow" w:eastAsia="Times New Roman" w:hAnsi="Arial Narrow"/>
          <w:sz w:val="28"/>
          <w:szCs w:val="28"/>
          <w:lang w:val="fr-CH" w:eastAsia="fr-CH"/>
        </w:rPr>
        <w:t>Diffuser les rapports et recommandations issus de leurs examens ;</w:t>
      </w:r>
    </w:p>
    <w:p w:rsidR="00C97695" w:rsidRDefault="00C97695" w:rsidP="00C97695">
      <w:pPr>
        <w:numPr>
          <w:ilvl w:val="0"/>
          <w:numId w:val="1"/>
        </w:numPr>
        <w:suppressAutoHyphens w:val="0"/>
        <w:spacing w:before="120" w:after="120" w:line="240" w:lineRule="auto"/>
        <w:jc w:val="both"/>
        <w:rPr>
          <w:rFonts w:ascii="Arial Narrow" w:eastAsia="Times New Roman" w:hAnsi="Arial Narrow"/>
          <w:sz w:val="28"/>
          <w:szCs w:val="28"/>
          <w:lang w:val="fr-CH" w:eastAsia="fr-CH"/>
        </w:rPr>
      </w:pPr>
      <w:r>
        <w:rPr>
          <w:rFonts w:ascii="Arial Narrow" w:eastAsia="Times New Roman" w:hAnsi="Arial Narrow"/>
          <w:sz w:val="28"/>
          <w:szCs w:val="28"/>
          <w:lang w:val="fr-CH" w:eastAsia="fr-CH"/>
        </w:rPr>
        <w:t>Formuler des recommandations au Gouvernement sur les projets de textes à adopter en vue de l’harmonisation des instruments internationaux des droits de l’homme avec la législation nationale ;</w:t>
      </w:r>
    </w:p>
    <w:p w:rsidR="00C97695" w:rsidRDefault="00C97695" w:rsidP="00C97695">
      <w:pPr>
        <w:numPr>
          <w:ilvl w:val="0"/>
          <w:numId w:val="1"/>
        </w:numPr>
        <w:suppressAutoHyphens w:val="0"/>
        <w:spacing w:after="0" w:line="240" w:lineRule="auto"/>
        <w:contextualSpacing/>
        <w:jc w:val="both"/>
        <w:rPr>
          <w:rFonts w:ascii="Arial Narrow" w:eastAsia="Times New Roman" w:hAnsi="Arial Narrow"/>
          <w:sz w:val="28"/>
          <w:szCs w:val="28"/>
          <w:lang w:val="fr-CH" w:eastAsia="fr-CH"/>
        </w:rPr>
      </w:pPr>
      <w:r>
        <w:rPr>
          <w:rFonts w:ascii="Arial Narrow" w:eastAsia="Times New Roman" w:hAnsi="Arial Narrow"/>
          <w:sz w:val="28"/>
          <w:szCs w:val="28"/>
          <w:lang w:val="fr-CH" w:eastAsia="fr-CH"/>
        </w:rPr>
        <w:t xml:space="preserve">Vulgariser les recommandations, les conventions et les lois relatives à la protection et la promotion des Droits de l’Homme. </w:t>
      </w:r>
    </w:p>
    <w:p w:rsidR="00C97695" w:rsidRDefault="00C97695" w:rsidP="00C97695">
      <w:pPr>
        <w:suppressAutoHyphens w:val="0"/>
        <w:spacing w:after="0" w:line="240" w:lineRule="auto"/>
        <w:ind w:left="720"/>
        <w:contextualSpacing/>
        <w:jc w:val="both"/>
        <w:rPr>
          <w:rFonts w:ascii="Arial Narrow" w:eastAsia="Times New Roman" w:hAnsi="Arial Narrow"/>
          <w:sz w:val="28"/>
          <w:szCs w:val="28"/>
          <w:lang w:val="fr-CH" w:eastAsia="fr-CH"/>
        </w:rPr>
      </w:pPr>
    </w:p>
    <w:p w:rsidR="00C97695" w:rsidRDefault="00C97695" w:rsidP="00C97695">
      <w:pPr>
        <w:suppressAutoHyphens w:val="0"/>
        <w:spacing w:after="0" w:line="240" w:lineRule="auto"/>
        <w:jc w:val="both"/>
        <w:rPr>
          <w:rFonts w:ascii="Arial Narrow" w:eastAsia="Times New Roman" w:hAnsi="Arial Narrow"/>
          <w:sz w:val="28"/>
          <w:szCs w:val="28"/>
          <w:lang w:val="fr-CH" w:eastAsia="fr-CH"/>
        </w:rPr>
      </w:pPr>
      <w:r>
        <w:rPr>
          <w:rFonts w:ascii="Arial Narrow" w:eastAsia="Times New Roman" w:hAnsi="Arial Narrow"/>
          <w:sz w:val="28"/>
          <w:szCs w:val="28"/>
          <w:lang w:val="fr-CH" w:eastAsia="fr-CH"/>
        </w:rPr>
        <w:t xml:space="preserve">Le Comité est composé de 31 membres issus des départements impliqués dans la gestion des questions des Droits de l’Homme, du représentant du parlement, des représentants des syndicats et des Associations de Défense des Droits de l’Homme.  </w:t>
      </w:r>
    </w:p>
    <w:p w:rsidR="00C97695" w:rsidRDefault="00C97695" w:rsidP="00C97695">
      <w:pPr>
        <w:suppressAutoHyphens w:val="0"/>
        <w:spacing w:after="0" w:line="240" w:lineRule="auto"/>
        <w:jc w:val="both"/>
        <w:rPr>
          <w:rFonts w:ascii="Arial Narrow" w:eastAsia="Times New Roman" w:hAnsi="Arial Narrow"/>
          <w:sz w:val="28"/>
          <w:szCs w:val="28"/>
          <w:lang w:val="fr-CH" w:eastAsia="fr-CH"/>
        </w:rPr>
      </w:pPr>
    </w:p>
    <w:p w:rsidR="00C97695" w:rsidRDefault="00C97695" w:rsidP="00C97695">
      <w:pPr>
        <w:suppressAutoHyphens w:val="0"/>
        <w:spacing w:after="0" w:line="240" w:lineRule="auto"/>
        <w:jc w:val="both"/>
        <w:rPr>
          <w:rFonts w:ascii="Arial Narrow" w:eastAsia="Times New Roman" w:hAnsi="Arial Narrow"/>
          <w:sz w:val="28"/>
          <w:szCs w:val="28"/>
          <w:lang w:val="fr-CH" w:eastAsia="fr-CH"/>
        </w:rPr>
      </w:pPr>
      <w:r>
        <w:rPr>
          <w:rFonts w:ascii="Arial Narrow" w:eastAsia="Times New Roman" w:hAnsi="Arial Narrow"/>
          <w:sz w:val="28"/>
          <w:szCs w:val="28"/>
          <w:lang w:val="fr-CH" w:eastAsia="fr-CH"/>
        </w:rPr>
        <w:t>Le comité dispose en son sein un Secrétariat Permanent composé de cinq 5 membres qui constitue sa mémoire.</w:t>
      </w:r>
    </w:p>
    <w:p w:rsidR="00C97695" w:rsidRDefault="00C97695" w:rsidP="00C97695">
      <w:pPr>
        <w:spacing w:after="0" w:line="240" w:lineRule="auto"/>
        <w:contextualSpacing/>
        <w:jc w:val="both"/>
        <w:rPr>
          <w:rFonts w:ascii="Arial Narrow" w:hAnsi="Arial Narrow" w:cstheme="minorBidi"/>
          <w:sz w:val="28"/>
          <w:szCs w:val="28"/>
          <w:lang w:val="fr-CH"/>
        </w:rPr>
      </w:pPr>
    </w:p>
    <w:p w:rsidR="00C97695" w:rsidRDefault="00C97695" w:rsidP="00C97695">
      <w:pPr>
        <w:spacing w:after="0" w:line="240" w:lineRule="auto"/>
        <w:contextualSpacing/>
        <w:jc w:val="both"/>
        <w:rPr>
          <w:rFonts w:ascii="Arial Narrow" w:hAnsi="Arial Narrow" w:cstheme="minorBidi"/>
          <w:sz w:val="28"/>
          <w:szCs w:val="28"/>
          <w:lang w:val="fr-CH"/>
        </w:rPr>
      </w:pPr>
    </w:p>
    <w:p w:rsidR="00C97695" w:rsidRDefault="00C97695" w:rsidP="00C97695">
      <w:pPr>
        <w:spacing w:after="0" w:line="240" w:lineRule="auto"/>
        <w:contextualSpacing/>
        <w:jc w:val="both"/>
        <w:rPr>
          <w:rFonts w:ascii="Arial Narrow" w:hAnsi="Arial Narrow" w:cstheme="minorBidi"/>
          <w:sz w:val="28"/>
          <w:szCs w:val="28"/>
          <w:lang w:val="fr-CH"/>
        </w:rPr>
      </w:pPr>
    </w:p>
    <w:p w:rsidR="00C97695" w:rsidRDefault="00C97695" w:rsidP="00C97695">
      <w:pPr>
        <w:spacing w:after="0" w:line="240" w:lineRule="auto"/>
        <w:contextualSpacing/>
        <w:jc w:val="both"/>
        <w:rPr>
          <w:rFonts w:ascii="Arial Narrow" w:hAnsi="Arial Narrow" w:cstheme="minorBidi"/>
          <w:sz w:val="28"/>
          <w:szCs w:val="28"/>
          <w:lang w:val="fr-CH"/>
        </w:rPr>
      </w:pPr>
    </w:p>
    <w:p w:rsidR="00C97695" w:rsidRDefault="00C97695" w:rsidP="00C97695">
      <w:pPr>
        <w:spacing w:after="0" w:line="240" w:lineRule="auto"/>
        <w:contextualSpacing/>
        <w:jc w:val="both"/>
        <w:rPr>
          <w:rFonts w:ascii="Arial Narrow" w:hAnsi="Arial Narrow" w:cstheme="minorBidi"/>
          <w:sz w:val="28"/>
          <w:szCs w:val="28"/>
          <w:lang w:val="fr-CH"/>
        </w:rPr>
      </w:pPr>
    </w:p>
    <w:p w:rsidR="00C97695" w:rsidRDefault="00C97695" w:rsidP="00C97695">
      <w:pPr>
        <w:spacing w:after="0" w:line="240" w:lineRule="auto"/>
        <w:contextualSpacing/>
        <w:jc w:val="both"/>
        <w:rPr>
          <w:rFonts w:ascii="Arial Narrow" w:hAnsi="Arial Narrow" w:cstheme="minorBidi"/>
          <w:sz w:val="28"/>
          <w:szCs w:val="28"/>
          <w:lang w:val="fr-CH"/>
        </w:rPr>
      </w:pPr>
    </w:p>
    <w:p w:rsidR="00C97695" w:rsidRDefault="00C97695" w:rsidP="00C97695">
      <w:pPr>
        <w:spacing w:after="0" w:line="240" w:lineRule="auto"/>
        <w:contextualSpacing/>
        <w:jc w:val="both"/>
        <w:rPr>
          <w:rFonts w:ascii="Arial Narrow" w:hAnsi="Arial Narrow" w:cstheme="minorBidi"/>
          <w:sz w:val="28"/>
          <w:szCs w:val="28"/>
          <w:lang w:val="fr-CH"/>
        </w:rPr>
      </w:pPr>
    </w:p>
    <w:p w:rsidR="00C97695" w:rsidRDefault="00C97695" w:rsidP="00C97695">
      <w:pPr>
        <w:spacing w:after="0" w:line="240" w:lineRule="auto"/>
        <w:contextualSpacing/>
        <w:jc w:val="both"/>
        <w:rPr>
          <w:rFonts w:ascii="Arial Narrow" w:hAnsi="Arial Narrow" w:cstheme="minorBidi"/>
          <w:sz w:val="28"/>
          <w:szCs w:val="28"/>
          <w:lang w:val="fr-CH"/>
        </w:rPr>
      </w:pPr>
    </w:p>
    <w:p w:rsidR="00C97695" w:rsidRDefault="00C97695" w:rsidP="00C97695">
      <w:pPr>
        <w:spacing w:after="0" w:line="240" w:lineRule="auto"/>
        <w:contextualSpacing/>
        <w:jc w:val="both"/>
        <w:rPr>
          <w:rFonts w:ascii="Arial Narrow" w:hAnsi="Arial Narrow" w:cstheme="minorBidi"/>
          <w:sz w:val="28"/>
          <w:szCs w:val="28"/>
          <w:lang w:val="fr-CH"/>
        </w:rPr>
      </w:pPr>
    </w:p>
    <w:p w:rsidR="00C97695" w:rsidRDefault="00C97695" w:rsidP="00C97695">
      <w:pPr>
        <w:spacing w:after="0" w:line="240" w:lineRule="auto"/>
        <w:contextualSpacing/>
        <w:jc w:val="both"/>
        <w:rPr>
          <w:rFonts w:ascii="Arial Narrow" w:hAnsi="Arial Narrow" w:cstheme="minorBidi"/>
          <w:sz w:val="28"/>
          <w:szCs w:val="28"/>
          <w:lang w:val="fr-CH"/>
        </w:rPr>
      </w:pPr>
    </w:p>
    <w:p w:rsidR="00C97695" w:rsidRDefault="00C97695" w:rsidP="00C97695">
      <w:pPr>
        <w:spacing w:after="0" w:line="240" w:lineRule="auto"/>
        <w:contextualSpacing/>
        <w:jc w:val="both"/>
        <w:rPr>
          <w:rFonts w:ascii="Arial Narrow" w:hAnsi="Arial Narrow" w:cstheme="minorBidi"/>
          <w:sz w:val="28"/>
          <w:szCs w:val="28"/>
          <w:lang w:val="fr-CH"/>
        </w:rPr>
      </w:pPr>
    </w:p>
    <w:p w:rsidR="00C97695" w:rsidRDefault="00C97695" w:rsidP="00C97695">
      <w:pPr>
        <w:spacing w:after="0" w:line="240" w:lineRule="auto"/>
        <w:contextualSpacing/>
        <w:jc w:val="both"/>
        <w:rPr>
          <w:rFonts w:ascii="Arial Narrow" w:hAnsi="Arial Narrow" w:cstheme="minorBidi"/>
          <w:sz w:val="28"/>
          <w:szCs w:val="28"/>
          <w:lang w:val="fr-CH"/>
        </w:rPr>
      </w:pPr>
    </w:p>
    <w:p w:rsidR="00C97695" w:rsidRDefault="00C97695" w:rsidP="00C97695">
      <w:pPr>
        <w:spacing w:after="0" w:line="240" w:lineRule="auto"/>
        <w:contextualSpacing/>
        <w:jc w:val="both"/>
        <w:rPr>
          <w:rFonts w:ascii="Arial Narrow" w:hAnsi="Arial Narrow" w:cstheme="minorBidi"/>
          <w:sz w:val="28"/>
          <w:szCs w:val="28"/>
          <w:lang w:val="fr-CH"/>
        </w:rPr>
      </w:pPr>
    </w:p>
    <w:p w:rsidR="00C97695" w:rsidRDefault="00C97695" w:rsidP="00C97695">
      <w:pPr>
        <w:spacing w:after="0" w:line="240" w:lineRule="auto"/>
        <w:contextualSpacing/>
        <w:jc w:val="both"/>
        <w:rPr>
          <w:rFonts w:ascii="Arial Narrow" w:hAnsi="Arial Narrow" w:cstheme="minorBidi"/>
          <w:sz w:val="28"/>
          <w:szCs w:val="28"/>
          <w:lang w:val="fr-CH"/>
        </w:rPr>
      </w:pPr>
    </w:p>
    <w:p w:rsidR="00C97695" w:rsidRDefault="00C97695" w:rsidP="00C97695">
      <w:pPr>
        <w:spacing w:after="0" w:line="240" w:lineRule="auto"/>
        <w:contextualSpacing/>
        <w:jc w:val="both"/>
        <w:rPr>
          <w:rFonts w:ascii="Arial Narrow" w:hAnsi="Arial Narrow" w:cstheme="minorBidi"/>
          <w:sz w:val="28"/>
          <w:szCs w:val="28"/>
          <w:lang w:val="fr-CH"/>
        </w:rPr>
      </w:pPr>
    </w:p>
    <w:p w:rsidR="00C97695" w:rsidRDefault="00C97695" w:rsidP="00C97695">
      <w:pPr>
        <w:spacing w:after="0" w:line="240" w:lineRule="auto"/>
        <w:contextualSpacing/>
        <w:jc w:val="both"/>
        <w:rPr>
          <w:rFonts w:ascii="Arial Narrow" w:hAnsi="Arial Narrow" w:cstheme="minorBidi"/>
          <w:sz w:val="28"/>
          <w:szCs w:val="28"/>
          <w:lang w:val="fr-CH"/>
        </w:rPr>
      </w:pPr>
    </w:p>
    <w:p w:rsidR="00C97695" w:rsidRDefault="00C97695" w:rsidP="00C97695">
      <w:pPr>
        <w:spacing w:after="0" w:line="240" w:lineRule="auto"/>
        <w:contextualSpacing/>
        <w:jc w:val="both"/>
        <w:rPr>
          <w:rFonts w:ascii="Arial Narrow" w:hAnsi="Arial Narrow" w:cstheme="minorBidi"/>
          <w:sz w:val="28"/>
          <w:szCs w:val="28"/>
          <w:lang w:val="fr-CH"/>
        </w:rPr>
      </w:pPr>
    </w:p>
    <w:p w:rsidR="00C97695" w:rsidRDefault="00C97695" w:rsidP="00C97695">
      <w:pPr>
        <w:spacing w:after="0" w:line="240" w:lineRule="auto"/>
        <w:contextualSpacing/>
        <w:jc w:val="both"/>
        <w:rPr>
          <w:rFonts w:ascii="Arial Narrow" w:hAnsi="Arial Narrow" w:cstheme="minorBidi"/>
          <w:sz w:val="28"/>
          <w:szCs w:val="28"/>
          <w:lang w:val="fr-CH"/>
        </w:rPr>
      </w:pPr>
    </w:p>
    <w:p w:rsidR="003624AF" w:rsidRPr="00C97695" w:rsidRDefault="003624AF">
      <w:pPr>
        <w:rPr>
          <w:lang w:val="fr-CH"/>
        </w:rPr>
      </w:pPr>
    </w:p>
    <w:sectPr w:rsidR="003624AF" w:rsidRPr="00C97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F41CE"/>
    <w:multiLevelType w:val="multilevel"/>
    <w:tmpl w:val="D3A64668"/>
    <w:lvl w:ilvl="0">
      <w:start w:val="18"/>
      <w:numFmt w:val="bullet"/>
      <w:lvlText w:val="-"/>
      <w:lvlJc w:val="left"/>
      <w:pPr>
        <w:ind w:left="720" w:hanging="360"/>
      </w:pPr>
      <w:rPr>
        <w:rFonts w:ascii="Calibri" w:eastAsia="Calibri" w:hAnsi="Calibri" w:cs="Calibri" w:hint="default"/>
        <w: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95"/>
    <w:rsid w:val="00161FC9"/>
    <w:rsid w:val="003624AF"/>
    <w:rsid w:val="00C9769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DB41F-C228-481D-9C1A-0FDB5C44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695"/>
    <w:pPr>
      <w:suppressAutoHyphens/>
      <w:autoSpaceDN w:val="0"/>
      <w:spacing w:line="252" w:lineRule="auto"/>
    </w:pPr>
    <w:rPr>
      <w:rFonts w:ascii="Calibri" w:eastAsia="Calibri" w:hAnsi="Calibri"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97695"/>
    <w:pPr>
      <w:suppressAutoHyphens/>
      <w:autoSpaceDN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3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10005</CatOrder>
    <DocId xmlns="328c4b46-73db-4dea-b856-05d9d8a86ba6">3288</DocId>
    <Category xmlns="328c4b46-73db-4dea-b856-05d9d8a86ba6" xsi:nil="true"/>
  </documentManagement>
</p:properties>
</file>

<file path=customXml/itemProps1.xml><?xml version="1.0" encoding="utf-8"?>
<ds:datastoreItem xmlns:ds="http://schemas.openxmlformats.org/officeDocument/2006/customXml" ds:itemID="{D43C902F-F567-432E-99BB-E5C22CB5F72E}"/>
</file>

<file path=customXml/itemProps2.xml><?xml version="1.0" encoding="utf-8"?>
<ds:datastoreItem xmlns:ds="http://schemas.openxmlformats.org/officeDocument/2006/customXml" ds:itemID="{E25BC45D-1884-40E4-9A36-AF72FB9CC683}"/>
</file>

<file path=customXml/itemProps3.xml><?xml version="1.0" encoding="utf-8"?>
<ds:datastoreItem xmlns:ds="http://schemas.openxmlformats.org/officeDocument/2006/customXml" ds:itemID="{132F817D-B30C-4779-B482-1DE831E6D18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3198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2024-01-29T20:22:00Z</dcterms:created>
  <dcterms:modified xsi:type="dcterms:W3CDTF">2024-01-29T20:22:00Z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