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Times New Roman" w:cs="Times New Roman"/>
          <w:b/>
          <w:sz w:val="24"/>
          <w:szCs w:val="24"/>
        </w:rPr>
      </w:pPr>
      <w:bookmarkStart w:id="0" w:name="_GoBack"/>
      <w:bookmarkEnd w:id="0"/>
      <w:r>
        <w:rPr>
          <w:rFonts w:ascii="Times New Roman" w:hAnsi="Times New Roman" w:eastAsia="Times New Roman" w:cs="Times New Roman"/>
          <w:b/>
          <w:sz w:val="24"/>
          <w:szCs w:val="24"/>
          <w:rtl w:val="0"/>
        </w:rPr>
        <w:t>44th Session of the UPR Working Group - Review of Turkmenistan</w:t>
      </w: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6 November 2023</w:t>
      </w:r>
    </w:p>
    <w:p>
      <w:pPr>
        <w:spacing w:line="276" w:lineRule="auto"/>
        <w:jc w:val="center"/>
        <w:rPr>
          <w:rFonts w:ascii="Times New Roman" w:hAnsi="Times New Roman" w:eastAsia="Times New Roman" w:cs="Times New Roman"/>
          <w:b/>
          <w:sz w:val="24"/>
          <w:szCs w:val="24"/>
        </w:rPr>
      </w:pPr>
    </w:p>
    <w:p>
      <w:pPr>
        <w:spacing w:line="276"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Statement by the Delegation of the Kingdom of Bhutan</w:t>
      </w:r>
    </w:p>
    <w:p>
      <w:pPr>
        <w:pageBreakBefore w:val="0"/>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line="276" w:lineRule="auto"/>
        <w:jc w:val="both"/>
        <w:rPr>
          <w:rFonts w:ascii="Times New Roman" w:hAnsi="Times New Roman" w:eastAsia="Times New Roman" w:cs="Times New Roman"/>
          <w:b/>
          <w:sz w:val="24"/>
          <w:szCs w:val="24"/>
        </w:rPr>
      </w:pPr>
    </w:p>
    <w:p>
      <w:pPr>
        <w:pageBreakBefore w:val="0"/>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Bhutan welcomes the delegation of Turkmenistan and thanks the delegation for the updates. </w:t>
      </w:r>
    </w:p>
    <w:p>
      <w:pPr>
        <w:pageBreakBefore w:val="0"/>
        <w:spacing w:line="276" w:lineRule="auto"/>
        <w:jc w:val="both"/>
        <w:rPr>
          <w:rFonts w:ascii="Times New Roman" w:hAnsi="Times New Roman" w:eastAsia="Times New Roman" w:cs="Times New Roman"/>
          <w:sz w:val="24"/>
          <w:szCs w:val="24"/>
        </w:rPr>
      </w:pPr>
    </w:p>
    <w:p>
      <w:pPr>
        <w:pageBreakBefore w:val="0"/>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the progress since its last review and the  adoption of several thematic action plans such as the National Human Rights Action Plan (2021–2025), National Action Plan on Gender Equality (2015–2020 &amp; 2021–2025) and the National Action Plan for the Realization of Children’s Rights (2018–2022 &amp; 2023–2028).</w:t>
      </w:r>
    </w:p>
    <w:p>
      <w:pPr>
        <w:pageBreakBefore w:val="0"/>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pPr>
        <w:pageBreakBefore w:val="0"/>
        <w:spacing w:line="276"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sz w:val="24"/>
          <w:szCs w:val="24"/>
          <w:rtl w:val="0"/>
        </w:rPr>
        <w:t xml:space="preserve">We commend the enactment of  </w:t>
      </w:r>
      <w:r>
        <w:rPr>
          <w:rFonts w:ascii="Times New Roman" w:hAnsi="Times New Roman" w:eastAsia="Times New Roman" w:cs="Times New Roman"/>
          <w:color w:val="222222"/>
          <w:sz w:val="24"/>
          <w:szCs w:val="24"/>
          <w:rtl w:val="0"/>
        </w:rPr>
        <w:t>legislation guaranteeing equal pay for work of equal value, as well as access to social security and other social protection measures for women working in the informal Sector.</w:t>
      </w:r>
    </w:p>
    <w:p>
      <w:pPr>
        <w:pageBreakBefore w:val="0"/>
        <w:spacing w:line="276" w:lineRule="auto"/>
        <w:jc w:val="both"/>
        <w:rPr>
          <w:rFonts w:ascii="Times New Roman" w:hAnsi="Times New Roman" w:eastAsia="Times New Roman" w:cs="Times New Roman"/>
          <w:color w:val="222222"/>
          <w:sz w:val="24"/>
          <w:szCs w:val="24"/>
        </w:rPr>
      </w:pPr>
    </w:p>
    <w:p>
      <w:pPr>
        <w:pageBreakBefore w:val="0"/>
        <w:spacing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color w:val="222222"/>
          <w:sz w:val="24"/>
          <w:szCs w:val="24"/>
          <w:rtl w:val="0"/>
        </w:rPr>
        <w:t xml:space="preserve">We note the review and </w:t>
      </w:r>
      <w:r>
        <w:rPr>
          <w:rFonts w:ascii="Times New Roman" w:hAnsi="Times New Roman" w:eastAsia="Times New Roman" w:cs="Times New Roman"/>
          <w:sz w:val="24"/>
          <w:szCs w:val="24"/>
          <w:rtl w:val="0"/>
        </w:rPr>
        <w:t xml:space="preserve">amendment of legislation related to children in conflict with the law and would like to </w:t>
      </w:r>
      <w:r>
        <w:rPr>
          <w:rFonts w:ascii="Times New Roman" w:hAnsi="Times New Roman" w:eastAsia="Times New Roman" w:cs="Times New Roman"/>
          <w:b/>
          <w:sz w:val="24"/>
          <w:szCs w:val="24"/>
          <w:rtl w:val="0"/>
        </w:rPr>
        <w:t xml:space="preserve">recommend Turkmenistan to continue its efforts in further developing its juvenile justice system and promote alternative measures to detention.  </w:t>
      </w:r>
    </w:p>
    <w:p>
      <w:pPr>
        <w:spacing w:line="276" w:lineRule="auto"/>
        <w:jc w:val="both"/>
        <w:rPr>
          <w:rFonts w:ascii="Times New Roman" w:hAnsi="Times New Roman" w:eastAsia="Times New Roman" w:cs="Times New Roman"/>
          <w:color w:val="222222"/>
          <w:sz w:val="24"/>
          <w:szCs w:val="24"/>
        </w:rPr>
      </w:pPr>
    </w:p>
    <w:p>
      <w:pPr>
        <w:spacing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color w:val="222222"/>
          <w:sz w:val="24"/>
          <w:szCs w:val="24"/>
          <w:rtl w:val="0"/>
        </w:rPr>
        <w:t xml:space="preserve">We welcome the launch of a national model of inclusive, quality community-based social services (which includes specialized services for persons with disabilities, the elderly, children and youth at risk, children in residential institutions, single mothers, and victims of domestic violence) and would like to </w:t>
      </w:r>
      <w:r>
        <w:rPr>
          <w:rFonts w:ascii="Times New Roman" w:hAnsi="Times New Roman" w:eastAsia="Times New Roman" w:cs="Times New Roman"/>
          <w:b/>
          <w:color w:val="222222"/>
          <w:sz w:val="24"/>
          <w:szCs w:val="24"/>
          <w:rtl w:val="0"/>
        </w:rPr>
        <w:t>recommend Turkmenistan to scale up such services to every community and improve the adequacy of social benefits.</w:t>
      </w:r>
    </w:p>
    <w:p>
      <w:pPr>
        <w:pageBreakBefore w:val="0"/>
        <w:spacing w:before="220" w:after="20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wish Turkmenistan a successful UPR review.  </w:t>
      </w:r>
    </w:p>
    <w:p>
      <w:pPr>
        <w:pageBreakBefore w:val="0"/>
        <w:spacing w:line="276" w:lineRule="auto"/>
        <w:rPr>
          <w:rFonts w:ascii="Times New Roman" w:hAnsi="Times New Roman" w:eastAsia="Times New Roman" w:cs="Times New Roman"/>
          <w:b/>
          <w:sz w:val="24"/>
          <w:szCs w:val="24"/>
        </w:rPr>
      </w:pPr>
    </w:p>
    <w:p>
      <w:pPr>
        <w:pageBreakBefore w:val="0"/>
        <w:spacing w:line="276" w:lineRule="auto"/>
        <w:rPr>
          <w:rFonts w:ascii="Times New Roman" w:hAnsi="Times New Roman" w:eastAsia="Times New Roman" w:cs="Times New Roman"/>
          <w:b/>
          <w:sz w:val="24"/>
          <w:szCs w:val="24"/>
        </w:rPr>
      </w:pPr>
    </w:p>
    <w:p>
      <w:pPr>
        <w:pageBreakBefore w:val="0"/>
        <w:spacing w:line="276" w:lineRule="auto"/>
        <w:rPr>
          <w:rFonts w:ascii="Times New Roman" w:hAnsi="Times New Roman" w:eastAsia="Times New Roman" w:cs="Times New Roman"/>
          <w:b/>
          <w:sz w:val="24"/>
          <w:szCs w:val="24"/>
        </w:rPr>
      </w:pPr>
    </w:p>
    <w:p>
      <w:pPr>
        <w:pageBreakBefore w:val="0"/>
        <w:spacing w:before="220" w:after="200" w:line="276" w:lineRule="auto"/>
        <w:jc w:val="both"/>
        <w:rPr>
          <w:rFonts w:ascii="Times New Roman" w:hAnsi="Times New Roman" w:eastAsia="Times New Roman" w:cs="Times New Roman"/>
          <w:sz w:val="24"/>
          <w:szCs w:val="24"/>
        </w:rPr>
      </w:pPr>
    </w:p>
    <w:sectPr>
      <w:pgSz w:w="12240" w:h="15840"/>
      <w:pgMar w:top="1440" w:right="1440" w:bottom="90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6DF3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343</DocId>
    <Category xmlns="328c4b46-73db-4dea-b856-05d9d8a86ba6" xsi:nil="true"/>
  </documentManagement>
</p:properties>
</file>

<file path=customXml/itemProps1.xml><?xml version="1.0" encoding="utf-8"?>
<ds:datastoreItem xmlns:ds="http://schemas.openxmlformats.org/officeDocument/2006/customXml" ds:itemID="{80901AC5-C6A2-4A08-8E31-12962BDFF14F}"/>
</file>

<file path=customXml/itemProps2.xml><?xml version="1.0" encoding="utf-8"?>
<ds:datastoreItem xmlns:ds="http://schemas.openxmlformats.org/officeDocument/2006/customXml" ds:itemID="{CCE2FFDA-AF29-4C11-83AD-C6032298ABBC}"/>
</file>

<file path=customXml/itemProps3.xml><?xml version="1.0" encoding="utf-8"?>
<ds:datastoreItem xmlns:ds="http://schemas.openxmlformats.org/officeDocument/2006/customXml" ds:itemID="{09A50FF1-DA3E-4C74-B007-1CEA89CF588B}"/>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Office_5.6.0.8082_F1E327BC-269C-435d-A152-05C5408002CA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tandin</cp:lastModifiedBy>
  <dcterms:created xsi:type="dcterms:W3CDTF">2023-11-06T06:41:50Z</dcterms:created>
  <dcterms:modified xsi:type="dcterms:W3CDTF">2023-11-06T06:42:25Z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y fmtid="{D5CDD505-2E9C-101B-9397-08002B2CF9AE}" pid="3" name="ContentTypeId">
    <vt:lpwstr>0x01010061463D5D263B434F89C88C07F50F9B05</vt:lpwstr>
  </property>
</Properties>
</file>