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Выступление главы делегации Российской Федерации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статс-секретаря – заместителя Министра юстиции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Федерации А.В. Логинова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44-й сессии рабочей группы Совета ООН по правам человека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проведению Универсального периодического обзора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(г. Женева, 13 ноября 2023 г.)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Уважаемая г-жа вице-Председатель, ваши превосходительства, уважаемые дамы и господа!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Мне выпала честь возглавить делегацию Российской Федерации при представлении четвертого доклада моей страны в рамках Универсального периодического обзора. И я рад продолжить начатую моими коллегами традицию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обсуждения в подобном формате успехов российских властей в правозащитной сфере, а также сложностей и препятствий, которые приходится преодолевать в работе на этом направлении. Искренне надеюсь, что наш диалог будет плодотворным и конструктивным.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Россия всегда рассматривала Универсальный периодический обзор в качестве эффективного механизма для обмена позитивным опытом в деле защиты прав человека. Считаем, что для успеха подобного формата общение между странами должно носить деполитизированный характер и быть свободным от использования проблематики прав человека как предлога для вмешательства во внутренние дела государств.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Российской Федерации защита прав и свобод человека является безусловным приоритетом в деятельности всех без исключения органов власти. Согласно положениям Конституции человек, его права и свободы являются высшей ценностью, а их признание, соблюдение и защита – обязанностью государства.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Права и свободы признаются и гарантируются как в соответствии с Конституцией, так и общепризнанными принципами и нормами международного права.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прошедшие со времени последнего обзора годы произошли значимые изменения в сфере укрепления и совершенствования национальных основ защиты прав человека. Поступательное развитие связано, в том числе и с выполнением рекомендаций, принятых Россией по итогам третьего цикла Универсального периодического обзора. Принятые меры и достигнутые результаты легли в основу национального доклада Российской Федерации, подготовленного при участии широкого круга государственных органов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учетом консультаций с институтами гражданского общества.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Однако, подчеркивая успехи нашей страны на правозащитном поприще, нельзя не упомянуть и о сложностях, с которыми нам пришлось столкнуться. Проводимая Россией на основании статьи 51 Устава ООН специальная военная операция, беспрецедентное санкционное давление, неправомерные ограничения участия нашей страны на различных международных площадках, — все это поставило перед нами новые вызовы, в том числе в правозащитной сфере.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 несмотря на эти обстоятельства Россия продолжила суверенный курс на обеспечение своей безопасности, защиту прав своих граждан и обеспечения верховенства закона. Разрешите изложить достижения нашей страны в деле защиты прав человека за последние пять лет, а также обозначить позицию по тем вопросам правозащитной повестки, по которым у нас и наших зарубежных коллег имеются разночтения в подходах и интерпретациях.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протяжении отчетного периода Российская Федерация предпринимала шаги по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укреплению национальной и международной институциональной основы защиты прав человека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Россия активно участвовала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работе Совета ООН по правам человека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сотрудничала с договорными органами ООН, региональными организациями, такими как Организация по безопасности и сотрудничеству в Европе. К сожалению, взаимодействие не было таким успешным, каким могло быть в ином внешнеполитическом контексте.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частности, нельзя обойти стороной состоявшийся в 2022 году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выход России из Совета Европы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При этом Российская Федерация </w:t>
        <w:br w:type="textWrapping"/>
        <w:t xml:space="preserve">по-прежнему остается участником ряда открытых для третьих стран конвенций Совета Европы, а российские эксперты продолжают деятельность в составе их органов. Сохраняется рабочий контакт с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Европейским комитетом по предупреждению пыток и бесчеловечного или унижающего достоинство обращения или наказания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 2022 году российскими властями направлены комментарии на доклад, который был подготовлен членами Комитета по итогам прошлого визита в Россию и носил во многом комплиментарный характер.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вопросу неисполнения решений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Европейского Суда по правам человека,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вынесенных после исключения нашей страны из состава организации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Напомню, что права членства России в Совете Европы были прекращены по решению Комитета министров, и на тех же условиях должны были прекратиться ее обязательства по Конвенции. Однако ЕСПЧ произвольно истолковал Конвенцию и распространил юрисдикцию ЕСПЧ на жалобы, поданные и рассмотренные после даты этого решения. Также наша страна была лишена базовых процессуальных гарантий, и сейчас жалобы против России рассматриваются без национального судьи и правительственного агента. Соответственно, внесение в российское законодательство норм о неисполнении решений ЕСПЧ, принятых после марта 2022 года, стало вынужденной мерой в условиях, когда структуры Совета Европы перестали считать себя связанными собственными обязательствами.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Выход из Совета Европы позволил активизировать иные направления международного сотрудничества по вопросам правозащитной повестки.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2022 году была принята новая редакция Положения о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Комиссии по правам человека Содружества Независимых Государств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 новому Положению Комиссия наделяется компетенцией по рассмотрению индивидуальных жалоб при условии ее признания соответствующим государством. Исходим из того, что Комиссия сможет в будущем выступать в роли комплементарного наднационального механизма защиты прав человека.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национальном уровне деятельность по защите конституционных прав и свобод граждан осуществляет Конституционный Суд.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его решению стало возможно незамедлительно обжаловать отказ в направлении содержащегося под стражей лица на медицинское освидетельствование для установления препятствий его содержанию под стражей.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уголовном законодательстве о побоях устранена неопределенность по вопросу наступления уголовной ответственности за неоднократно причиненные побои лицами, имеющими судимость.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Конституционный Суд признал неконституционными ограничения на усыновление или удочерение детей лицами с ВИЧ-инфекцией и гепатитом С, если с ребенком сложились семейные отношения, не наносящие вреда его интересам. Соответствующие поправки внесены в Семейный кодекс.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России действует более строгий по сравнению с международным правовой режим неприменения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смертной казни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Он базируется на позиции Конституционного Суда, согласно которой в результате длительного моратория на применение смертной казни сформировались устойчивые гарантии права человека не быть подвергнутым такому виду наказания. Поэтому возможность возвращения к применению смертной казни в России исключена.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России прилагаются серьезные усилия для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искоренения всех проявлений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дискриминации и противодействия различным формам нетерпимости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Общий запрет дискриминации закреплен в российской Конституции. В развитие конституционных положений установлена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административная и уголовная ответственность за различные формы дискриминации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цели предотвращения возможной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дискриминации по признаку национальности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направлена Стратегия государственной национальной политики.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Особое внимание в ней уделено обеспечению условий для сохранения и развития языков народов России, использования русского языка как государственного, реализации гражданами своего права на изучение родного языка.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борьбы с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дискриминацией по половому признаку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содержатся в Национальной стратегии действий в интересах женщин. Создан Координационный Совет при Правительстве Российской Федерации для ее реализации.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Предпринимаются меры по ликвидации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дискриминации в сфере труда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Так, в отчетный период введена ответственность за необоснованный отказ в приеме на работу по достижении лицом предпенсионного возраста.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числе традиционно адресуемых России вопросов звучат обвинения в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дискриминации представителей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ЛГБТ-сообщества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Подчеркиваем, что в России сдерживание публичной демонстрации нетрадиционных сексуальных отношений или предпочтений не является формой порицания за них. Напротив, оно является способом ограничить именно пропаганду данного образа жизни, как несоответствующую духовно-нравственным устоям многонационального населения нашей страны.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известно, в разных государствах отношение к легальности нетрадиционных сексуальных контактов различно, как и различен правовой статус такого рода союзов. На текущий момент нельзя сказать о наличии общепризнанного мирового консенсуса в данном вопросе.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Принципиальное значение для России имеют вопросы борьбы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расизмом,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ксенофобией,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агрессивным национализмом,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этнической и религиозной нетерпимостью,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неонацизмом,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том числе в контексте сохранения исторической памяти и противодействия фальсификации истории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Наша страна ежегодно вносит на рассмотрение Генеральной Ассамблеи ООН проект резолюции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уголовном порядке в России преследуются преступления,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 Эти мотивы отнесены к обстоятельствам, отягчающим наказание. Сотрудники правоохранительных органов регулярно проходят подготовку по вопросам борьбы с расовой дискриминацией и профилированием.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2020 году принята Стратегия противодействия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экстремизму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Российской Федерации. В ней определены понятия «идеология экстремизма» и «противодействие экстремизму», обозначены негативные факторы для межнациональных и межконфессиональных отношений. Регулярно проводятся заседания Межведомственной комиссии по противодействию экстремизму. Ведется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банк данных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экстремистских материалов.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реализации положений Модельного законодательства ООН о поддержке нужд и защите прав жертв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терроризма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ведется работа по созданию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Национального центра защиты прав жертв терроризма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прошедшие пять лет в России развивалось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законодательство об укреплении и защите семьи, семейных ценностей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были расширены меры государственной социальной помощи семьям с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детьми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детям-сиротам и детям, оставшимся без попечения родителей.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2023 года реализуется Стратегия комплексной безопасности детей в Российской Федерации. Укреплены гарантии прав детей в сфере защиты от преступлений.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Усилена ответственность за понуждение несовершеннолетнего к действиям сексуального характера, в том числе с использованием средств массовой информации или Интернета. Введена ответственность за укрывательство тяжких преступлений в отношении несовершеннолетних. В 2022 году был увеличена санкция за совершение изнасилования и насильственных действий сексуального характера в отношении несовершеннолетних, достигших 14-летнего возраста. Максимальный размер такой санкции теперь достигает пожизненного лишения свободы.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Особое внимание в отчетный период уделялось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защите социально уязвимых групп населения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таких как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дети, инвалиды, лица пожилого возраста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ратификации Российской Федерацией Конвенции о правах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инвалидов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были внесены поправки в около 40 федеральных и 750 региональных законов,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приняты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меры по созданию безбарьерной среды для инвалидов в различных сферах жизнедеятельности, расширены их возможности для трудоустройства.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2019 года реализуется федеральный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 «Старшее поколение»,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направленный на повышение качества жизни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граждан пожилого возраста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создание условий для активного долголетия. Такие граждане получают доступ к профессиональному обучению в самых разных областях. В 2022 году обучение прошли 66 тыс. граждан старшего возраста, обеспечена занятость 55,5 тысяч пожилых людей. Предпринимаются меры для улучшения системы охраны здоровья граждан старшего возраста, системы долговременного ухода и социального обслуживания. В 2022 году социальные услуги получили почти 8 миллионов граждан пожилого возраста и инвалидов.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Оказание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бесплатной юридической помощи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отдельным категориям населения также является приоритетом в защите прав человека. Возможностью ее получения пользуются 34 миллиона граждан. В 2022 году помощь была оказана в 735 тысячах случаях, и это число неуклонно растет.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Наиболее эффективно эта работа ведется в тем 40 регионах, где созданы государственные юридические бюро. Развивается система оказания бесплатной юридической помощи в мобильных офисах. Они действуют в труднодоступных и отдаленных населенных уголках нашей страны.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пилотном формате запущена информационная система «Правовая помощь», которая помогает быстро найти информацию о том, как и где получить правовую помощь в разных жизненных ситуациях. Планируется масштабировать систему на все субъекты Российской Федерации.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сфере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защиты права на жизнь, свободу и личную неприкосновенность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продолжается совершенствование уголовного законодательства. В 2022 году было расширено и уточнено понятие «пытки», которое содержится в примечании к статье 286 Уголовного кодекса о превышении должностных полномочий. Данное определение воспроизводит понятие пытки, закрепленное в Конвенции ООН против пыток и других жестоких, бесчеловечных или унижающих достоинство видов обращения и наказания.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Установлены повышенные меры ответственности за превышение должностных полномочий и принуждение к даче показаний с применением пыток. Расширен круг субъектов преступления в форме принуждения к даче показаний: ответственность за данное деяние теперь может нести любой сотрудник правоохранительного органа.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Также отмечу проведенную в отчетный период в России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масштабную судебную реформу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направленную на развитие организационных основ деятельности судов. Одним из достижений стало создание по экстерриториальному принципу самостоятельных апелляционных и кассационных судов общей юрисдикции. Это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способствовало унификации построения судебной системы, укрепления ее единства и оптимизации судебной нагрузки. В ходе проведенной реформы было гарантировано право на «сплошную» кассацию, что обеспечило бОльшую доступность правосудия в судах кассационных инстанций.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того, продолжился процесс цифровизации в судебной системе, что нашло отражение во внедрении и развитии элементов электронного правосудия – автоматического распределения дел, использования видео-конференц-связи, обязательной аудиозаписи судебных заседаний и многого другого.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Одним из ключевых направлений политики России в сфере защиты прав человека было и остается улучшение условий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функционирования учреждений пенитенциарной системы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2022 году приняты изменения в закон о порядке общественного контроля за обеспечением прав человека в местах принудительного заключения. Оптимизированы порядок формирования и деятельности общественных наблюдательных комиссий. Их полномочия теперь распространены и на учреждения, исполняющие наказание в виде принудительных работ. В 2022 году члены комиссий посетили учреждения уголовно-исполнительной системы более 2,5 тысяч раз.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Усилия властей были направлены, в том числе на развитие материально-технической оснащенности мест лишения свободы. В отчетный период ветхие объекты ликвидировались и выводились из труднодоступных и малонаселенных мест. В совокупности было ликвидировано более 100 таких исправительных учреждений и 15 следственных изоляторов. В 2021-2022 годах спроектированы и построены 50, а отремонтированы – около 400 изоляторов временного содержания. В России создаются дополнительные места для содержания подозреваемых и обвиняемых, улучшаются материально-бытовые условия содержания осужденных. Совершенствуется качество транспортировки конвоируемых лиц путем обновления парка специального транспорта.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ресоциализации и социальной адаптации осужденных был принят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Закон о пробации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Закон устанавливает три вида пробации: 1)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исполнительная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применяемая к лицам, осужденным к наказаниям без изоляции от общества; 2)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пенитенциарная и 3) постпенитенциарная,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применяемые к лицам, осужденным к наказаниям в виде принудительных работ или лишению свободы, во время и после отбытия ими наказания.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Важнейшим инструментом в сфере пробации является разработка индивидуальных программ по оказанию помощи людям в зависимости от их жизненных обстоятельств, личности и индивидуальной нуждаемости. Программы предусматривают помощь в восстановлении и формировании социальных связей, правовую и психологическую помощь, содействие в получении документов, трудоустройстве, доступе к образованию и медицине.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Была продолжена работа по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расширению сети исправительных центров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На август 2023 года создано порядка 43 тысяч мест. Чтобы такой вид наказания применялся чаще, совершенствуется законодательство о порядке назначения и исполнения наказания в виде принудительных работ.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2022 году вступили в силу новые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внутреннего распорядка следственных изоляторов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исправительных учреждений и центров. Осуществляется постоянный мониторинг их соблюдения, в том числе представителями общественных наблюдательных комиссий.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Совершенствуются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содержания в учреждениях уголовно-исполнительной системы для женщин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 том числе беременных или имеющих ребенка. Это касается укомплектования камер следственных изоляторов, санитарно-гигиенических и бытовых условий, режима их содержания.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Введены положения о том, что женщины, имеющие при себе детей в возрасте до трех лет, и беременные женщины содержатся отдельно от остальных подозреваемых и обвиняемых. Для них устанавливаются повышенные нормы питания. Камеры для размещения женщин с детьми оборудуются детскими кроватками и иными принадлежностями для ребенка. Их прогулки осуществляются на отдельной территории с детскими площадками. Развивается система оказания женщинам медицинской помощи.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Значительную роль в реализацию гражданских и политических прав человека играет конструктивная работа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некоммерческих организаций.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Она представляет огромный потенциал для динамичного развития страны, служит источником гражданских инициатив и эффективным каналом обратной связи между государством и обществом. По состоянию на лето 2023 года в России зарегистрировано более 212 тысяч некоммерческих организаций.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Уменьшается бюрократическая нагрузка на некоммерческий сектор путем отмены дополнительных требований к уставам организаций. Обеспечена возможность размещения отчетности НКО в электронном виде.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2022 году вступил в силу Федеральный закон «О контроле за деятельностью лиц, находящихся под иностранным влиянием», который систематизирует правовую базу в сфере регламентации деятельности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иностранных агентов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Еще раз отмечаем, что институт иностранного агента появился в России в связи с необходимостью информировать общество об организациях, ведущих деятельность политического характера и имеющих иностранное финансирование. Признание лица иностранным агентом не предполагает ограничений в правовом статусе, поражений в правах, а включение лиц в реестр не влечет за собой запрет деятельности либо ликвидацию организации.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Данный институт не является уникальным для российской правовой системы, схожие институты есть и в других государствах. При этом во многом законодательство нашей страны по сравнению с зарубежными предусматривает более мягкие требования к отчетности иноагентов и ответственности за его нарушение.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касается обвинений якобы набирающей оборот тенденции по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ликвидации правозащитных организаций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России, подчеркиваем, что любые подобные решения имеют под собой законные основания. Например, основанием обращения с заявлением о ликвидации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Московской Хельсинкской Группы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выступили выявленные многочисленные, в том числе неустранимые нарушения законодательства Российской Федерации. При этом ликвидация Группы не сказалась на деятельности правозащитников, входящих в ее состав. По их заявлениям, сделанным в сообщениях в Комитет ООН по правам человека, они продолжают деятельность и после ликвидации организации.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Еще раз хочу подчеркнуть, что проводимые российскими властями преобразования осуществляются в тесном взаимодействии с гражданским обществом и во многом определяются им. Российская Федерация поступательно развивается как правовое демократическое государство, в котором защита прав человека является первоочередной задачей в деятельности всех органов публичной власти.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Мои коллеги и я будем рады выслушать ваши мнения и рекомендации и выступить с необходимыми комментариями. Благодарю за внимание!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Благодарю Вас, г-жа вице-Председатель.</w:t>
      </w:r>
    </w:p>
    <w:sectPr>
      <w:headerReference r:id="rId6" w:type="default"/>
      <w:pgSz w:h="16838" w:w="11906" w:orient="portrait"/>
      <w:pgMar w:bottom="1134" w:top="1134" w:left="1418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</CatOrder>
    <DocId xmlns="328c4b46-73db-4dea-b856-05d9d8a86ba6">1517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35661D5-F764-4C51-9444-1A459A4702FA}"/>
</file>

<file path=customXml/itemProps2.xml><?xml version="1.0" encoding="utf-8"?>
<ds:datastoreItem xmlns:ds="http://schemas.openxmlformats.org/officeDocument/2006/customXml" ds:itemID="{226B8B2A-B356-4016-9A98-304D9D382D02}"/>
</file>

<file path=customXml/itemProps3.xml><?xml version="1.0" encoding="utf-8"?>
<ds:datastoreItem xmlns:ds="http://schemas.openxmlformats.org/officeDocument/2006/customXml" ds:itemID="{94AECC11-4D4C-4AC5-9D11-1DCA60E17E6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