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uppressAutoHyphens w:val="1"/>
        <w:spacing w:after="0" w:line="240" w:lineRule="auto"/>
        <w:jc w:val="center"/>
        <w:rPr>
          <w:rFonts w:ascii="Arial" w:cs="Arial" w:hAnsi="Arial" w:eastAsia="Arial"/>
          <w:outline w:val="0"/>
          <w:color w:val="0000ff"/>
          <w:kern w:val="3"/>
          <w:sz w:val="24"/>
          <w:szCs w:val="24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Arial" w:cs="Arial" w:hAnsi="Arial" w:eastAsia="Arial"/>
          <w:outline w:val="0"/>
          <w:color w:val="0000ff"/>
          <w:kern w:val="3"/>
          <w:sz w:val="24"/>
          <w:szCs w:val="24"/>
          <w:u w:color="0000ff"/>
          <w14:textFill>
            <w14:solidFill>
              <w14:srgbClr w14:val="0000FF"/>
            </w14:solidFill>
          </w14:textFill>
        </w:rPr>
        <w:drawing xmlns:a="http://schemas.openxmlformats.org/drawingml/2006/main">
          <wp:inline distT="0" distB="0" distL="0" distR="0">
            <wp:extent cx="333375" cy="4191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uppressAutoHyphens w:val="1"/>
        <w:spacing w:after="0" w:line="240" w:lineRule="auto"/>
        <w:jc w:val="center"/>
        <w:rPr>
          <w:rFonts w:ascii="Arial" w:cs="Arial" w:hAnsi="Arial" w:eastAsia="Arial"/>
          <w:kern w:val="3"/>
          <w:sz w:val="24"/>
          <w:szCs w:val="24"/>
          <w:lang w:val="en-US"/>
        </w:rPr>
      </w:pPr>
    </w:p>
    <w:p>
      <w:pPr>
        <w:pStyle w:val="Body"/>
        <w:suppressAutoHyphens w:val="1"/>
        <w:spacing w:after="0" w:line="240" w:lineRule="auto"/>
        <w:rPr>
          <w:rFonts w:ascii="Arial" w:cs="Arial" w:hAnsi="Arial" w:eastAsia="Arial"/>
          <w:kern w:val="3"/>
          <w:sz w:val="24"/>
          <w:szCs w:val="24"/>
          <w:lang w:val="en-US"/>
        </w:rPr>
      </w:pPr>
    </w:p>
    <w:p>
      <w:pPr>
        <w:pStyle w:val="Body"/>
        <w:suppressAutoHyphens w:val="1"/>
        <w:spacing w:after="60" w:line="240" w:lineRule="auto"/>
        <w:jc w:val="center"/>
        <w:rPr>
          <w:rFonts w:ascii="Republika" w:cs="Republika" w:hAnsi="Republika" w:eastAsia="Republika"/>
          <w:kern w:val="3"/>
          <w:sz w:val="24"/>
          <w:szCs w:val="24"/>
        </w:rPr>
      </w:pPr>
      <w:r>
        <w:rPr>
          <w:rFonts w:ascii="Republika" w:cs="Republika" w:hAnsi="Republika" w:eastAsia="Republika"/>
          <w:kern w:val="3"/>
          <w:sz w:val="24"/>
          <w:szCs w:val="24"/>
          <w:rtl w:val="0"/>
          <w:lang w:val="en-US"/>
        </w:rPr>
        <w:t>Statement by</w:t>
      </w:r>
    </w:p>
    <w:p>
      <w:pPr>
        <w:pStyle w:val="Body"/>
        <w:suppressAutoHyphens w:val="1"/>
        <w:spacing w:after="0" w:line="240" w:lineRule="auto"/>
        <w:jc w:val="center"/>
        <w:rPr>
          <w:rFonts w:ascii="Republika" w:cs="Republika" w:hAnsi="Republika" w:eastAsia="Republika"/>
          <w:b w:val="1"/>
          <w:bCs w:val="1"/>
          <w:kern w:val="3"/>
          <w:sz w:val="24"/>
          <w:szCs w:val="24"/>
        </w:rPr>
      </w:pPr>
      <w:r>
        <w:rPr>
          <w:rFonts w:ascii="Republika" w:cs="Republika" w:hAnsi="Republika" w:eastAsia="Republika"/>
          <w:b w:val="1"/>
          <w:bCs w:val="1"/>
          <w:kern w:val="3"/>
          <w:sz w:val="24"/>
          <w:szCs w:val="24"/>
          <w:rtl w:val="0"/>
          <w:lang w:val="en-US"/>
        </w:rPr>
        <w:t>the Republic of Slovenia</w:t>
      </w:r>
    </w:p>
    <w:p>
      <w:pPr>
        <w:pStyle w:val="Body"/>
        <w:suppressAutoHyphens w:val="1"/>
        <w:spacing w:after="60" w:line="240" w:lineRule="auto"/>
        <w:jc w:val="center"/>
        <w:rPr>
          <w:rFonts w:ascii="Republika" w:cs="Republika" w:hAnsi="Republika" w:eastAsia="Republika"/>
          <w:kern w:val="3"/>
          <w:sz w:val="24"/>
          <w:szCs w:val="24"/>
        </w:rPr>
      </w:pPr>
      <w:r>
        <w:rPr>
          <w:rFonts w:ascii="Republika" w:cs="Republika" w:hAnsi="Republika" w:eastAsia="Republika"/>
          <w:kern w:val="3"/>
          <w:sz w:val="24"/>
          <w:szCs w:val="24"/>
          <w:rtl w:val="0"/>
          <w:lang w:val="en-US"/>
        </w:rPr>
        <w:t>at the</w:t>
      </w:r>
    </w:p>
    <w:p>
      <w:pPr>
        <w:pStyle w:val="Body"/>
        <w:suppressAutoHyphens w:val="1"/>
        <w:spacing w:after="0" w:line="240" w:lineRule="auto"/>
        <w:jc w:val="center"/>
        <w:rPr>
          <w:rFonts w:ascii="Republika" w:cs="Republika" w:hAnsi="Republika" w:eastAsia="Republika"/>
          <w:b w:val="1"/>
          <w:bCs w:val="1"/>
          <w:outline w:val="0"/>
          <w:color w:val="529dba"/>
          <w:kern w:val="3"/>
          <w:sz w:val="24"/>
          <w:szCs w:val="24"/>
          <w:u w:color="529dba"/>
          <w14:textFill>
            <w14:solidFill>
              <w14:srgbClr w14:val="529DBA"/>
            </w14:solidFill>
          </w14:textFill>
        </w:rPr>
      </w:pPr>
      <w:r>
        <w:rPr>
          <w:rFonts w:ascii="Republika" w:cs="Republika" w:hAnsi="Republika" w:eastAsia="Republika"/>
          <w:b w:val="1"/>
          <w:bCs w:val="1"/>
          <w:outline w:val="0"/>
          <w:color w:val="529dba"/>
          <w:kern w:val="3"/>
          <w:sz w:val="24"/>
          <w:szCs w:val="24"/>
          <w:u w:color="529dba"/>
          <w:rtl w:val="0"/>
          <w:lang w:val="en-US"/>
          <w14:textFill>
            <w14:solidFill>
              <w14:srgbClr w14:val="529DBA"/>
            </w14:solidFill>
          </w14:textFill>
        </w:rPr>
        <w:t>44</w:t>
      </w:r>
      <w:r>
        <w:rPr>
          <w:rFonts w:ascii="Republika" w:cs="Republika" w:hAnsi="Republika" w:eastAsia="Republika"/>
          <w:b w:val="1"/>
          <w:bCs w:val="1"/>
          <w:outline w:val="0"/>
          <w:color w:val="529dba"/>
          <w:kern w:val="3"/>
          <w:sz w:val="24"/>
          <w:szCs w:val="24"/>
          <w:u w:color="529dba"/>
          <w:vertAlign w:val="superscript"/>
          <w:rtl w:val="0"/>
          <w:lang w:val="en-US"/>
          <w14:textFill>
            <w14:solidFill>
              <w14:srgbClr w14:val="529DBA"/>
            </w14:solidFill>
          </w14:textFill>
        </w:rPr>
        <w:t>th</w:t>
      </w:r>
      <w:r>
        <w:rPr>
          <w:rFonts w:ascii="Republika" w:cs="Republika" w:hAnsi="Republika" w:eastAsia="Republika"/>
          <w:b w:val="1"/>
          <w:bCs w:val="1"/>
          <w:outline w:val="0"/>
          <w:color w:val="529dba"/>
          <w:kern w:val="3"/>
          <w:sz w:val="24"/>
          <w:szCs w:val="24"/>
          <w:u w:color="529dba"/>
          <w:rtl w:val="0"/>
          <w:lang w:val="en-US"/>
          <w14:textFill>
            <w14:solidFill>
              <w14:srgbClr w14:val="529DBA"/>
            </w14:solidFill>
          </w14:textFill>
        </w:rPr>
        <w:t xml:space="preserve"> Session of the UPR Working Group </w:t>
      </w:r>
      <w:r>
        <w:rPr>
          <w:rFonts w:ascii="Republika" w:cs="Republika" w:hAnsi="Republika" w:eastAsia="Republika"/>
          <w:b w:val="1"/>
          <w:bCs w:val="1"/>
          <w:outline w:val="0"/>
          <w:color w:val="529dba"/>
          <w:kern w:val="3"/>
          <w:sz w:val="24"/>
          <w:szCs w:val="24"/>
          <w:u w:color="529dba"/>
          <w:rtl w:val="0"/>
          <w:lang w:val="en-US"/>
          <w14:textFill>
            <w14:solidFill>
              <w14:srgbClr w14:val="529DBA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529dba"/>
          <w:u w:color="529dba"/>
          <w:rtl w:val="0"/>
          <w:lang w:val="en-US"/>
          <w14:textFill>
            <w14:solidFill>
              <w14:srgbClr w14:val="529DBA"/>
            </w14:solidFill>
          </w14:textFill>
        </w:rPr>
        <w:t>Review of Bangladesh</w:t>
      </w:r>
    </w:p>
    <w:p>
      <w:pPr>
        <w:pStyle w:val="Body"/>
        <w:suppressAutoHyphens w:val="1"/>
        <w:spacing w:after="0" w:line="240" w:lineRule="auto"/>
        <w:jc w:val="center"/>
        <w:rPr>
          <w:rFonts w:ascii="Republika" w:cs="Republika" w:hAnsi="Republika" w:eastAsia="Republika"/>
          <w:b w:val="1"/>
          <w:bCs w:val="1"/>
          <w:outline w:val="0"/>
          <w:color w:val="529dba"/>
          <w:kern w:val="3"/>
          <w:sz w:val="20"/>
          <w:szCs w:val="20"/>
          <w:u w:color="529dba"/>
          <w:lang w:val="en-US"/>
          <w14:textFill>
            <w14:solidFill>
              <w14:srgbClr w14:val="529DBA"/>
            </w14:solidFill>
          </w14:textFill>
        </w:rPr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uppressAutoHyphens w:val="1"/>
        <w:spacing w:after="0" w:line="240" w:lineRule="auto"/>
        <w:jc w:val="center"/>
        <w:rPr>
          <w:rFonts w:ascii="Republika" w:cs="Republika" w:hAnsi="Republika" w:eastAsia="Republika"/>
          <w:i w:val="1"/>
          <w:iCs w:val="1"/>
          <w:kern w:val="3"/>
          <w:sz w:val="20"/>
          <w:szCs w:val="20"/>
        </w:rPr>
      </w:pPr>
      <w:r>
        <w:rPr>
          <w:rFonts w:ascii="Republika" w:cs="Republika" w:hAnsi="Republika" w:eastAsia="Republika"/>
          <w:i w:val="1"/>
          <w:iCs w:val="1"/>
          <w:kern w:val="3"/>
          <w:sz w:val="20"/>
          <w:szCs w:val="20"/>
          <w:rtl w:val="0"/>
          <w:lang w:val="en-US"/>
        </w:rPr>
        <w:t>Geneva, 13 November 2023</w:t>
      </w:r>
    </w:p>
    <w:p>
      <w:pPr>
        <w:pStyle w:val="No Spacing"/>
        <w:jc w:val="both"/>
        <w:rPr>
          <w:rFonts w:ascii="Arial" w:cs="Arial" w:hAnsi="Arial" w:eastAsia="Arial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spacing w:after="0"/>
        <w:jc w:val="both"/>
        <w:rPr>
          <w:rFonts w:ascii="Arial" w:cs="Arial" w:hAnsi="Arial" w:eastAsia="Arial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Excellences,</w:t>
      </w:r>
    </w:p>
    <w:p>
      <w:pPr>
        <w:pStyle w:val="Body"/>
        <w:spacing w:after="0"/>
        <w:ind w:firstLine="708"/>
        <w:jc w:val="both"/>
        <w:rPr>
          <w:rFonts w:ascii="Arial" w:cs="Arial" w:hAnsi="Arial" w:eastAsia="Arial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line="276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Slovenia would like to thank the delegation of Bangladesh for their presentation today, as well as country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commitment to the UPR process. </w:t>
      </w:r>
    </w:p>
    <w:p>
      <w:pPr>
        <w:pStyle w:val="Default"/>
        <w:spacing w:line="276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Slovenia acknowledges Bangladesh's progress made since the last UPR review, </w:t>
      </w:r>
      <w:r>
        <w:rPr>
          <w:rFonts w:ascii="Arial" w:hAnsi="Arial"/>
          <w:sz w:val="22"/>
          <w:szCs w:val="22"/>
          <w:rtl w:val="0"/>
          <w:lang w:val="en-US"/>
        </w:rPr>
        <w:t>including the adoption of National action plans to prevent violence against women and children and to end child marriage.</w:t>
      </w:r>
    </w:p>
    <w:p>
      <w:pPr>
        <w:pStyle w:val="Body"/>
        <w:spacing w:after="0"/>
        <w:jc w:val="both"/>
        <w:rPr>
          <w:rFonts w:ascii="Arial" w:cs="Arial" w:hAnsi="Arial" w:eastAsia="Arial"/>
          <w:lang w:val="en-US"/>
        </w:rPr>
      </w:pPr>
    </w:p>
    <w:p>
      <w:pPr>
        <w:pStyle w:val="Body"/>
        <w:spacing w:after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Slovenia would like to </w:t>
      </w:r>
      <w:r>
        <w:rPr>
          <w:rFonts w:ascii="Arial" w:hAnsi="Arial"/>
          <w:b w:val="1"/>
          <w:bCs w:val="1"/>
          <w:rtl w:val="0"/>
          <w:lang w:val="en-US"/>
        </w:rPr>
        <w:t>recommend</w:t>
      </w:r>
      <w:r>
        <w:rPr>
          <w:rFonts w:ascii="Arial" w:hAnsi="Arial"/>
          <w:rtl w:val="0"/>
          <w:lang w:val="en-US"/>
        </w:rPr>
        <w:t xml:space="preserve"> to Bangladesh to:</w:t>
      </w:r>
    </w:p>
    <w:p>
      <w:pPr>
        <w:pStyle w:val="Body"/>
        <w:spacing w:after="0"/>
        <w:jc w:val="both"/>
        <w:rPr>
          <w:rFonts w:ascii="Arial" w:cs="Arial" w:hAnsi="Arial" w:eastAsia="Arial"/>
          <w:lang w:val="en-US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endorse the draft Law on Reproductive Health and Family Planning without any further delay;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adopt targeted measures aimed at accelerating access to safe drinking water for ethnic minorities, women and girls, older persons and coastal population,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within water-related national plans, policies and strategies</w:t>
      </w:r>
      <w:r>
        <w:rPr>
          <w:rFonts w:ascii="Arial" w:hAnsi="Arial"/>
          <w:sz w:val="22"/>
          <w:szCs w:val="22"/>
          <w:rtl w:val="0"/>
          <w:lang w:val="en-US"/>
        </w:rPr>
        <w:t xml:space="preserve">; 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to reduce the gender pay gap and incorporate the principle of equal pay for work of equal value into legislation..</w:t>
      </w:r>
    </w:p>
    <w:p>
      <w:pPr>
        <w:pStyle w:val="Body"/>
        <w:spacing w:after="0"/>
        <w:jc w:val="both"/>
        <w:rPr>
          <w:rFonts w:ascii="Arial" w:cs="Arial" w:hAnsi="Arial" w:eastAsia="Arial"/>
          <w:lang w:val="en-US"/>
        </w:rPr>
      </w:pPr>
    </w:p>
    <w:p>
      <w:pPr>
        <w:pStyle w:val="Body"/>
        <w:spacing w:after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Thank you.</w:t>
      </w:r>
    </w:p>
    <w:p>
      <w:pPr>
        <w:pStyle w:val="Body"/>
        <w:spacing w:after="0"/>
        <w:jc w:val="both"/>
        <w:rPr>
          <w:rFonts w:ascii="Arial" w:cs="Arial" w:hAnsi="Arial" w:eastAsia="Arial"/>
          <w:lang w:val="en-US"/>
        </w:rPr>
      </w:pPr>
    </w:p>
    <w:p>
      <w:pPr>
        <w:pStyle w:val="Body"/>
        <w:spacing w:after="0"/>
        <w:jc w:val="both"/>
      </w:pPr>
      <w:r>
        <w:rPr>
          <w:rFonts w:ascii="Arial" w:cs="Arial" w:hAnsi="Arial" w:eastAsia="Arial"/>
          <w:b w:val="1"/>
          <w:bCs w:val="1"/>
          <w:lang w:val="en-US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Republik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>
      <w:rPr>
        <w:rFonts w:ascii="Arial" w:hAnsi="Arial"/>
        <w:i w:val="1"/>
        <w:iCs w:val="1"/>
        <w:sz w:val="20"/>
        <w:szCs w:val="20"/>
        <w:u w:val="single"/>
        <w:rtl w:val="0"/>
        <w:lang w:val="en-US"/>
      </w:rPr>
      <w:t>Check against delivery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F694B9-9DC9-45E4-849F-66B9F0D7A540}"/>
</file>

<file path=customXml/itemProps2.xml><?xml version="1.0" encoding="utf-8"?>
<ds:datastoreItem xmlns:ds="http://schemas.openxmlformats.org/officeDocument/2006/customXml" ds:itemID="{02622184-21B9-4799-8423-F332362EE1A9}"/>
</file>

<file path=customXml/itemProps3.xml><?xml version="1.0" encoding="utf-8"?>
<ds:datastoreItem xmlns:ds="http://schemas.openxmlformats.org/officeDocument/2006/customXml" ds:itemID="{39817762-616B-4BF1-B7B7-EE59005DE071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