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3F5D" w14:textId="77777777" w:rsidR="00BB429C" w:rsidRDefault="00ED716E" w:rsidP="004B07F4">
      <w:pPr>
        <w:pStyle w:val="NoSpacing"/>
        <w:bidi/>
        <w:jc w:val="center"/>
        <w:rPr>
          <w:rtl/>
          <w:lang w:val="ar-SA"/>
        </w:rPr>
      </w:pPr>
      <w:r>
        <w:rPr>
          <w:noProof/>
          <w:rtl/>
          <w:lang w:val="ar-SA"/>
        </w:rPr>
        <w:drawing>
          <wp:inline distT="0" distB="0" distL="0" distR="0" wp14:anchorId="002E88BC" wp14:editId="1440350B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C8843D" w14:textId="77777777" w:rsidR="00BB429C" w:rsidRDefault="00BB429C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bookmarkStart w:id="0" w:name="_Hlk94076873"/>
    </w:p>
    <w:p w14:paraId="3685ED81" w14:textId="77777777" w:rsidR="00BB429C" w:rsidRDefault="00ED716E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44"/>
          <w:szCs w:val="44"/>
          <w:rtl/>
          <w:lang w:val="ar-SA"/>
        </w:rPr>
        <w:t xml:space="preserve">دولة ليبيا </w:t>
      </w:r>
    </w:p>
    <w:p w14:paraId="4AF5436E" w14:textId="77777777" w:rsidR="00BB429C" w:rsidRDefault="00ED716E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3E28BD6F" w14:textId="3FA05028" w:rsidR="00BB429C" w:rsidRDefault="00ED716E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>(</w:t>
      </w:r>
      <w:r w:rsidR="00846B92">
        <w:rPr>
          <w:rFonts w:ascii="Times New Roman" w:hAnsi="Times New Roman"/>
          <w:b/>
          <w:bCs/>
          <w:sz w:val="32"/>
          <w:szCs w:val="32"/>
          <w:lang w:val="fr-FR"/>
        </w:rPr>
        <w:t>44</w:t>
      </w: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 xml:space="preserve">)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DF4891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بنغلاديش</w:t>
      </w:r>
    </w:p>
    <w:p w14:paraId="3BF8296F" w14:textId="07C8579D" w:rsidR="00BB429C" w:rsidRDefault="00ED716E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الإثنين الموافق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DF4891">
        <w:rPr>
          <w:rFonts w:ascii="Times New Roman" w:hAnsi="Times New Roman"/>
          <w:b/>
          <w:bCs/>
          <w:sz w:val="32"/>
          <w:szCs w:val="32"/>
          <w:lang w:val="fr-FR"/>
        </w:rPr>
        <w:t>13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DF4891">
        <w:rPr>
          <w:rFonts w:ascii="Times New Roman" w:hAnsi="Times New Roman"/>
          <w:b/>
          <w:bCs/>
          <w:sz w:val="32"/>
          <w:szCs w:val="32"/>
          <w:lang w:val="fr-FR"/>
        </w:rPr>
        <w:t>11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0E3176">
        <w:rPr>
          <w:rFonts w:ascii="Times New Roman" w:hAnsi="Times New Roman"/>
          <w:b/>
          <w:bCs/>
          <w:sz w:val="32"/>
          <w:szCs w:val="32"/>
          <w:lang w:val="fr-FR"/>
        </w:rPr>
        <w:t>2023</w:t>
      </w:r>
      <w:r>
        <w:rPr>
          <w:rFonts w:ascii="Arial Unicode MS" w:hAnsi="Arial Unicode MS"/>
          <w:sz w:val="32"/>
          <w:szCs w:val="32"/>
          <w:lang w:val="fr-FR"/>
        </w:rPr>
        <w:t xml:space="preserve"> </w:t>
      </w:r>
    </w:p>
    <w:p w14:paraId="6AF269DD" w14:textId="11D7C4F9" w:rsidR="00F40B73" w:rsidRDefault="00F40B73" w:rsidP="00F40B73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3A5A668F" w14:textId="77777777" w:rsidR="00BB429C" w:rsidRDefault="00BB429C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391D509E" w14:textId="3129ED7B" w:rsidR="00BB429C" w:rsidRDefault="00ED716E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</w:p>
    <w:p w14:paraId="34AAA0FB" w14:textId="1E86599F" w:rsidR="00BB429C" w:rsidRDefault="00ED716E" w:rsidP="006E1F49">
      <w:pPr>
        <w:pStyle w:val="Default"/>
        <w:bidi/>
        <w:spacing w:before="0" w:after="200" w:line="276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يرحب وفد بلادي بوفد جمهورية </w:t>
      </w:r>
      <w:r w:rsidR="00DF4891">
        <w:rPr>
          <w:rFonts w:ascii="Arial Unicode MS" w:hAnsi="Arial Unicode MS" w:cs="Times New Roman" w:hint="cs"/>
          <w:sz w:val="32"/>
          <w:szCs w:val="32"/>
          <w:rtl/>
          <w:lang w:val="ar-SA"/>
        </w:rPr>
        <w:t>بنغلاديش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الموقر، ويثمن الجهود المبذولة في إعداد هذا التقرير</w:t>
      </w:r>
      <w:r w:rsidR="006E1F4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ونشكر للحكومة سعيها في تعزيز حقوق الإنسان وحمايتها رغم التحديات التي تواجهها وينعكس ذلك في التشريعات والسياسات الوطنية التي اعتمدتها في هذا الشأن، كما نثني على </w:t>
      </w:r>
      <w:r w:rsidR="00533E2E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وضع الحكومة </w:t>
      </w:r>
      <w:r w:rsidR="006E1F49">
        <w:rPr>
          <w:rFonts w:ascii="Arial Unicode MS" w:hAnsi="Arial Unicode MS" w:cs="Times New Roman" w:hint="cs"/>
          <w:sz w:val="32"/>
          <w:szCs w:val="32"/>
          <w:rtl/>
          <w:lang w:val="ar-SA"/>
        </w:rPr>
        <w:t>ا</w:t>
      </w:r>
      <w:r w:rsidR="00533E2E">
        <w:rPr>
          <w:rFonts w:ascii="Arial Unicode MS" w:hAnsi="Arial Unicode MS" w:cs="Times New Roman" w:hint="cs"/>
          <w:sz w:val="32"/>
          <w:szCs w:val="32"/>
          <w:rtl/>
          <w:lang w:val="ar-SA"/>
        </w:rPr>
        <w:t>لخطة</w:t>
      </w:r>
      <w:r w:rsidR="006E1F49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DF4891">
        <w:rPr>
          <w:rFonts w:ascii="Arial Unicode MS" w:hAnsi="Arial Unicode MS" w:cs="Times New Roman" w:hint="cs"/>
          <w:sz w:val="32"/>
          <w:szCs w:val="32"/>
          <w:rtl/>
          <w:lang w:val="ar-SA"/>
        </w:rPr>
        <w:t>الخمسية الثامنة</w:t>
      </w:r>
      <w:r w:rsidR="00533E2E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لسنة </w:t>
      </w:r>
      <w:r w:rsidR="00DF4891">
        <w:rPr>
          <w:rFonts w:ascii="Arial Unicode MS" w:hAnsi="Arial Unicode MS" w:cs="Times New Roman" w:hint="cs"/>
          <w:sz w:val="32"/>
          <w:szCs w:val="32"/>
          <w:rtl/>
          <w:lang w:val="ar-SA"/>
        </w:rPr>
        <w:t>2020-2025</w:t>
      </w:r>
      <w:r w:rsidR="00DF4891">
        <w:rPr>
          <w:rFonts w:ascii="Times New Roman" w:hAnsi="Times New Roman" w:hint="cs"/>
          <w:sz w:val="32"/>
          <w:szCs w:val="32"/>
          <w:rtl/>
          <w:lang w:val="ar-SA"/>
        </w:rPr>
        <w:t xml:space="preserve"> التي تعكس التزام بنغلاديش بتنفيذ أهداف التنمية المستدامة.</w:t>
      </w:r>
    </w:p>
    <w:p w14:paraId="10EE8006" w14:textId="4CF083F5" w:rsidR="00BB429C" w:rsidRDefault="00ED716E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 xml:space="preserve">وفي </w:t>
      </w:r>
      <w:r w:rsidR="00F40B73"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 xml:space="preserve">هذا </w:t>
      </w:r>
      <w:r w:rsidR="000E3176"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>السياق،</w:t>
      </w:r>
      <w:r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 xml:space="preserve"> يوصي وفد بلادي </w:t>
      </w:r>
      <w:r w:rsidR="000E3176"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>بالآتي</w:t>
      </w:r>
      <w:r w:rsidR="000E3176">
        <w:rPr>
          <w:rFonts w:ascii="Times New Roman" w:hAnsi="Times New Roman" w:cs="Times New Roman" w:hint="cs"/>
          <w:sz w:val="30"/>
          <w:szCs w:val="30"/>
          <w:rtl/>
          <w:lang w:val="ar-SA"/>
        </w:rPr>
        <w:t xml:space="preserve">: </w:t>
      </w:r>
      <w:r w:rsidR="000E3176">
        <w:rPr>
          <w:rFonts w:ascii="Times New Roman" w:hAnsi="Times New Roman" w:cs="Times New Roman"/>
          <w:sz w:val="30"/>
          <w:szCs w:val="30"/>
          <w:rtl/>
          <w:lang w:val="ar-SA"/>
        </w:rPr>
        <w:t>-</w:t>
      </w:r>
    </w:p>
    <w:p w14:paraId="5DCE9DEF" w14:textId="77777777" w:rsidR="0070188D" w:rsidRDefault="0070188D" w:rsidP="0070188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اتخاذ التدابير اللازمة لإصلاح جهاز النظام القضائي وضمان استقلاليته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وصولا للعدالة للتغلب على الإفلات من العقاب</w:t>
      </w:r>
      <w:r>
        <w:rPr>
          <w:rFonts w:ascii="Times New Roman" w:hAnsi="Times New Roman"/>
          <w:sz w:val="32"/>
          <w:szCs w:val="32"/>
          <w:rtl/>
          <w:lang w:val="ar-SA"/>
        </w:rPr>
        <w:t>.</w:t>
      </w:r>
    </w:p>
    <w:p w14:paraId="634B1EBA" w14:textId="77777777" w:rsidR="00846B92" w:rsidRPr="00C83A35" w:rsidRDefault="00846B92" w:rsidP="00846B92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Theme="minorBidi" w:eastAsia="Times New Roman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rtl/>
          <w:lang w:val="ar-SA"/>
        </w:rPr>
        <w:t>مواصلة الحكومة جهودها لضمان وصول الاشخاص ذوي الاعاقة والفئات الضعيفة إلى كافة مجالات الحياة السياسية والاقتصادية وضمان حصولهم على الخدمات العامة الاساسية.</w:t>
      </w:r>
    </w:p>
    <w:p w14:paraId="0EB8D189" w14:textId="77777777" w:rsidR="00846B92" w:rsidRPr="00846B92" w:rsidRDefault="00846B92" w:rsidP="00846B92">
      <w:pPr>
        <w:pStyle w:val="Default"/>
        <w:bidi/>
        <w:spacing w:before="0" w:after="200" w:line="276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</w:p>
    <w:p w14:paraId="72BEBE50" w14:textId="15632FA7" w:rsidR="00BB429C" w:rsidRDefault="00ED716E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</w:t>
      </w:r>
      <w:r w:rsidR="00DF489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جمهورية بنغلاديش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5579A527" w14:textId="4F860AE6" w:rsidR="00BB429C" w:rsidRDefault="00ED716E" w:rsidP="00AC63EB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  <w:bookmarkEnd w:id="0"/>
    </w:p>
    <w:p w14:paraId="36C1BCDC" w14:textId="77777777" w:rsidR="00BB429C" w:rsidRDefault="00BB429C">
      <w:pPr>
        <w:pStyle w:val="Default"/>
        <w:bidi/>
        <w:spacing w:before="0" w:after="200" w:line="276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ar-SA"/>
        </w:rPr>
      </w:pPr>
    </w:p>
    <w:p w14:paraId="417708C8" w14:textId="77777777" w:rsidR="00BB429C" w:rsidRDefault="00BB429C">
      <w:pPr>
        <w:pStyle w:val="Default"/>
        <w:bidi/>
        <w:spacing w:before="0" w:after="200" w:line="276" w:lineRule="auto"/>
        <w:ind w:left="720" w:right="720"/>
        <w:jc w:val="both"/>
        <w:rPr>
          <w:rFonts w:hint="eastAsia"/>
          <w:rtl/>
        </w:rPr>
      </w:pPr>
    </w:p>
    <w:sectPr w:rsidR="00BB429C" w:rsidSect="004B07F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1564" w14:textId="77777777" w:rsidR="008E2681" w:rsidRDefault="008E2681">
      <w:r>
        <w:separator/>
      </w:r>
    </w:p>
  </w:endnote>
  <w:endnote w:type="continuationSeparator" w:id="0">
    <w:p w14:paraId="63DBA8E1" w14:textId="77777777" w:rsidR="008E2681" w:rsidRDefault="008E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EA42" w14:textId="77777777" w:rsidR="00BB429C" w:rsidRDefault="00BB429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E8B5" w14:textId="77777777" w:rsidR="008E2681" w:rsidRDefault="008E2681">
      <w:r>
        <w:separator/>
      </w:r>
    </w:p>
  </w:footnote>
  <w:footnote w:type="continuationSeparator" w:id="0">
    <w:p w14:paraId="19FA14BB" w14:textId="77777777" w:rsidR="008E2681" w:rsidRDefault="008E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47A73" w14:textId="77777777" w:rsidR="00BB429C" w:rsidRDefault="00BB429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4551"/>
    <w:multiLevelType w:val="hybridMultilevel"/>
    <w:tmpl w:val="FBC422EE"/>
    <w:lvl w:ilvl="0" w:tplc="B7EC6FD0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3B96"/>
    <w:multiLevelType w:val="hybridMultilevel"/>
    <w:tmpl w:val="1D222366"/>
    <w:numStyleLink w:val="Dash"/>
  </w:abstractNum>
  <w:abstractNum w:abstractNumId="2" w15:restartNumberingAfterBreak="0">
    <w:nsid w:val="37D8066F"/>
    <w:multiLevelType w:val="hybridMultilevel"/>
    <w:tmpl w:val="1D222366"/>
    <w:styleLink w:val="Dash"/>
    <w:lvl w:ilvl="0" w:tplc="7C2AC7DA">
      <w:start w:val="1"/>
      <w:numFmt w:val="bullet"/>
      <w:lvlText w:val="-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1" w:tplc="71904306">
      <w:start w:val="1"/>
      <w:numFmt w:val="bullet"/>
      <w:lvlText w:val="-"/>
      <w:lvlJc w:val="left"/>
      <w:pPr>
        <w:ind w:left="4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9AFC5D94">
      <w:start w:val="1"/>
      <w:numFmt w:val="bullet"/>
      <w:lvlText w:val="-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8FF6321E">
      <w:start w:val="1"/>
      <w:numFmt w:val="bullet"/>
      <w:lvlText w:val="-"/>
      <w:lvlJc w:val="left"/>
      <w:pPr>
        <w:ind w:left="9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0D84E1AC">
      <w:start w:val="1"/>
      <w:numFmt w:val="bullet"/>
      <w:lvlText w:val="-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1F766C5E">
      <w:start w:val="1"/>
      <w:numFmt w:val="bullet"/>
      <w:lvlText w:val="-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DC4A8FEC">
      <w:start w:val="1"/>
      <w:numFmt w:val="bullet"/>
      <w:lvlText w:val="-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E6C262EC">
      <w:start w:val="1"/>
      <w:numFmt w:val="bullet"/>
      <w:lvlText w:val="-"/>
      <w:lvlJc w:val="left"/>
      <w:pPr>
        <w:ind w:left="19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4F3ABD36">
      <w:start w:val="1"/>
      <w:numFmt w:val="bullet"/>
      <w:lvlText w:val="-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abstractNum w:abstractNumId="3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9C"/>
    <w:rsid w:val="000E3176"/>
    <w:rsid w:val="00204245"/>
    <w:rsid w:val="00444699"/>
    <w:rsid w:val="004543D9"/>
    <w:rsid w:val="004B07F4"/>
    <w:rsid w:val="004B6072"/>
    <w:rsid w:val="00533E2E"/>
    <w:rsid w:val="006E1F49"/>
    <w:rsid w:val="0070137B"/>
    <w:rsid w:val="0070188D"/>
    <w:rsid w:val="007D5211"/>
    <w:rsid w:val="00846B92"/>
    <w:rsid w:val="008E2681"/>
    <w:rsid w:val="009019E4"/>
    <w:rsid w:val="00AC63EB"/>
    <w:rsid w:val="00BB429C"/>
    <w:rsid w:val="00D90BA2"/>
    <w:rsid w:val="00DF4891"/>
    <w:rsid w:val="00ED716E"/>
    <w:rsid w:val="00F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2DB5"/>
  <w15:docId w15:val="{D03F1A8E-7C1E-473F-8143-99F2509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uiPriority w:val="1"/>
    <w:qFormat/>
    <w:rsid w:val="004B07F4"/>
    <w:rPr>
      <w:sz w:val="24"/>
      <w:szCs w:val="24"/>
    </w:rPr>
  </w:style>
  <w:style w:type="numbering" w:customStyle="1" w:styleId="Dash">
    <w:name w:val="Dash"/>
    <w:rsid w:val="00D90B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133D9E4-6F9E-49C4-8D2D-EBDD31B4FD8E}"/>
</file>

<file path=customXml/itemProps2.xml><?xml version="1.0" encoding="utf-8"?>
<ds:datastoreItem xmlns:ds="http://schemas.openxmlformats.org/officeDocument/2006/customXml" ds:itemID="{8377C9CC-1C44-491D-B4C7-5D955F39115A}"/>
</file>

<file path=customXml/itemProps3.xml><?xml version="1.0" encoding="utf-8"?>
<ds:datastoreItem xmlns:ds="http://schemas.openxmlformats.org/officeDocument/2006/customXml" ds:itemID="{C85B09BB-57BD-475A-B90E-48001935B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cp:lastPrinted>2023-04-28T11:17:00Z</cp:lastPrinted>
  <dcterms:created xsi:type="dcterms:W3CDTF">2023-11-09T13:53:00Z</dcterms:created>
  <dcterms:modified xsi:type="dcterms:W3CDTF">2023-11-09T13:53:00Z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