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اذربيجان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14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أذربيجان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أذربيجان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أذربيجان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إطلاق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المحمول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للمساعدة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الإلكترونية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LegalAid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2022،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يوفر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للمواطنين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مريحة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المبادرات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الجارية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الرامية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الرفاه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الاقتصادي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والاجتماعي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للمواطنين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سيما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صحتهم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وتعليمهم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أذربيجان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564BFB-123C-44CD-8726-4DCB35576190}"/>
</file>

<file path=customXml/itemProps2.xml><?xml version="1.0" encoding="utf-8"?>
<ds:datastoreItem xmlns:ds="http://schemas.openxmlformats.org/officeDocument/2006/customXml" ds:itemID="{6AD7F288-2B39-4616-967A-232B4E01D4D8}"/>
</file>

<file path=customXml/itemProps3.xml><?xml version="1.0" encoding="utf-8"?>
<ds:datastoreItem xmlns:ds="http://schemas.openxmlformats.org/officeDocument/2006/customXml" ds:itemID="{913289FB-14D4-47C5-A25B-12FB0CD98FA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