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DCF" w:rsidRDefault="00937DCF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Permanent Mission of Montenegro to the United Nations and other international organizations</w:t>
      </w:r>
    </w:p>
    <w:p w:rsidR="000669B6" w:rsidRPr="00D51F50" w:rsidRDefault="000669B6" w:rsidP="000669B6">
      <w:pPr>
        <w:tabs>
          <w:tab w:val="left" w:pos="2093"/>
        </w:tabs>
        <w:ind w:left="-180" w:right="-360"/>
        <w:jc w:val="center"/>
        <w:rPr>
          <w:rFonts w:ascii="Arial" w:hAnsi="Arial" w:cs="Arial"/>
          <w:b/>
          <w:lang w:val="en-GB"/>
        </w:rPr>
      </w:pP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 xml:space="preserve">Geneva, </w:t>
      </w:r>
      <w:r w:rsidR="00A27237">
        <w:rPr>
          <w:rFonts w:ascii="Arial" w:hAnsi="Arial" w:cs="Arial"/>
          <w:b/>
          <w:lang w:val="en-GB"/>
        </w:rPr>
        <w:t>1</w:t>
      </w:r>
      <w:r w:rsidR="005476FB">
        <w:rPr>
          <w:rFonts w:ascii="Arial" w:hAnsi="Arial" w:cs="Arial"/>
          <w:b/>
          <w:lang w:val="en-GB"/>
        </w:rPr>
        <w:t>4</w:t>
      </w:r>
      <w:r>
        <w:rPr>
          <w:rFonts w:ascii="Arial" w:hAnsi="Arial" w:cs="Arial"/>
          <w:b/>
          <w:lang w:val="en-GB"/>
        </w:rPr>
        <w:t xml:space="preserve"> November</w:t>
      </w:r>
      <w:r w:rsidRPr="00D51F50">
        <w:rPr>
          <w:rFonts w:ascii="Arial" w:hAnsi="Arial" w:cs="Arial"/>
          <w:b/>
          <w:lang w:val="en-GB"/>
        </w:rPr>
        <w:t xml:space="preserve"> 2023</w:t>
      </w: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 xml:space="preserve">UPR </w:t>
      </w:r>
      <w:r>
        <w:rPr>
          <w:rFonts w:ascii="Arial" w:hAnsi="Arial" w:cs="Arial"/>
          <w:b/>
          <w:lang w:val="en-GB"/>
        </w:rPr>
        <w:t>Fourth</w:t>
      </w:r>
      <w:r w:rsidRPr="00D51F50">
        <w:rPr>
          <w:rFonts w:ascii="Arial" w:hAnsi="Arial" w:cs="Arial"/>
          <w:b/>
          <w:lang w:val="en-GB"/>
        </w:rPr>
        <w:t xml:space="preserve"> Cycle, Review of </w:t>
      </w:r>
      <w:r w:rsidR="005476FB" w:rsidRPr="005476FB">
        <w:rPr>
          <w:rFonts w:ascii="Arial" w:hAnsi="Arial" w:cs="Arial"/>
          <w:b/>
          <w:lang w:val="en-GB"/>
        </w:rPr>
        <w:t>Azerbaijan</w:t>
      </w: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Statement by Montenegro</w:t>
      </w:r>
    </w:p>
    <w:p w:rsidR="000669B6" w:rsidRPr="00D51F50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</w:p>
    <w:p w:rsidR="000669B6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</w:r>
      <w:r w:rsidRPr="00D51F50">
        <w:rPr>
          <w:rFonts w:ascii="Arial" w:hAnsi="Arial" w:cs="Arial"/>
          <w:lang w:val="en-GB"/>
        </w:rPr>
        <w:t xml:space="preserve">Montenegro welcomes the distinguished delegation of </w:t>
      </w:r>
      <w:r w:rsidR="005476FB" w:rsidRPr="005476FB">
        <w:rPr>
          <w:rFonts w:ascii="Arial" w:hAnsi="Arial" w:cs="Arial"/>
          <w:lang w:val="en-GB"/>
        </w:rPr>
        <w:t xml:space="preserve">Azerbaijan </w:t>
      </w:r>
      <w:r w:rsidR="00F853F7">
        <w:rPr>
          <w:rFonts w:ascii="Arial" w:hAnsi="Arial" w:cs="Arial"/>
          <w:lang w:val="en-GB"/>
        </w:rPr>
        <w:t xml:space="preserve">and </w:t>
      </w:r>
      <w:r w:rsidR="00DF7FE6">
        <w:rPr>
          <w:rFonts w:ascii="Arial" w:hAnsi="Arial" w:cs="Arial"/>
          <w:lang w:val="en-GB"/>
        </w:rPr>
        <w:t>the</w:t>
      </w:r>
      <w:r w:rsidR="002714CC">
        <w:rPr>
          <w:rFonts w:ascii="Arial" w:hAnsi="Arial" w:cs="Arial"/>
          <w:lang w:val="en-GB"/>
        </w:rPr>
        <w:t xml:space="preserve"> </w:t>
      </w:r>
      <w:r w:rsidR="005476FB">
        <w:rPr>
          <w:rFonts w:ascii="Arial" w:hAnsi="Arial" w:cs="Arial"/>
          <w:lang w:val="en-GB"/>
        </w:rPr>
        <w:t xml:space="preserve">constructive </w:t>
      </w:r>
      <w:r w:rsidR="001100E2">
        <w:rPr>
          <w:rFonts w:ascii="Arial" w:hAnsi="Arial" w:cs="Arial"/>
          <w:lang w:val="en-GB"/>
        </w:rPr>
        <w:t>engagement</w:t>
      </w:r>
      <w:r w:rsidR="00F853F7">
        <w:rPr>
          <w:rFonts w:ascii="Arial" w:hAnsi="Arial" w:cs="Arial"/>
          <w:lang w:val="en-GB"/>
        </w:rPr>
        <w:t xml:space="preserve"> </w:t>
      </w:r>
      <w:r w:rsidR="001100E2">
        <w:rPr>
          <w:rFonts w:ascii="Arial" w:hAnsi="Arial" w:cs="Arial"/>
          <w:lang w:val="en-GB"/>
        </w:rPr>
        <w:t>with</w:t>
      </w:r>
      <w:r w:rsidR="00F853F7">
        <w:rPr>
          <w:rFonts w:ascii="Arial" w:hAnsi="Arial" w:cs="Arial"/>
          <w:lang w:val="en-GB"/>
        </w:rPr>
        <w:t xml:space="preserve"> the UPR process</w:t>
      </w:r>
      <w:r>
        <w:rPr>
          <w:rFonts w:ascii="Arial" w:hAnsi="Arial" w:cs="Arial"/>
          <w:lang w:val="en-GB"/>
        </w:rPr>
        <w:t>.</w:t>
      </w:r>
    </w:p>
    <w:p w:rsidR="00711964" w:rsidRDefault="00711964" w:rsidP="00413E3F">
      <w:pPr>
        <w:ind w:right="-360"/>
        <w:jc w:val="both"/>
        <w:rPr>
          <w:rFonts w:ascii="Arial" w:hAnsi="Arial" w:cs="Arial"/>
          <w:lang w:val="en-GB"/>
        </w:rPr>
      </w:pPr>
    </w:p>
    <w:p w:rsidR="00677DD2" w:rsidRDefault="000669B6" w:rsidP="00677DD2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</w:t>
      </w:r>
      <w:r w:rsidR="00677DD2">
        <w:rPr>
          <w:rFonts w:ascii="Arial" w:hAnsi="Arial" w:cs="Arial"/>
          <w:lang w:val="en-GB"/>
        </w:rPr>
        <w:t>note the activities</w:t>
      </w:r>
      <w:r w:rsidR="00DF7FE6">
        <w:rPr>
          <w:rFonts w:ascii="Arial" w:hAnsi="Arial" w:cs="Arial"/>
          <w:lang w:val="en-GB"/>
        </w:rPr>
        <w:t xml:space="preserve"> of Azerbaijan’s authorities to advance the protection and promotion of human rights in-between two UPR cycles</w:t>
      </w:r>
      <w:r w:rsidR="00677DD2">
        <w:rPr>
          <w:rFonts w:ascii="Arial" w:hAnsi="Arial" w:cs="Arial"/>
          <w:lang w:val="en-GB"/>
        </w:rPr>
        <w:t xml:space="preserve">. In particular we welcome efforts </w:t>
      </w:r>
      <w:r w:rsidR="000C7B58">
        <w:rPr>
          <w:rFonts w:ascii="Arial" w:hAnsi="Arial" w:cs="Arial"/>
          <w:lang w:val="en-GB"/>
        </w:rPr>
        <w:t xml:space="preserve">to implement </w:t>
      </w:r>
      <w:r w:rsidR="000C7B58" w:rsidRPr="000C7B58">
        <w:rPr>
          <w:rFonts w:ascii="Arial" w:hAnsi="Arial" w:cs="Arial"/>
          <w:lang w:val="en-GB"/>
        </w:rPr>
        <w:t>decisions of the European Court of Human Rights</w:t>
      </w:r>
      <w:r w:rsidR="002D327F">
        <w:rPr>
          <w:rFonts w:ascii="Arial" w:hAnsi="Arial" w:cs="Arial"/>
          <w:lang w:val="en-GB"/>
        </w:rPr>
        <w:t>,</w:t>
      </w:r>
      <w:r w:rsidR="002D327F">
        <w:rPr>
          <w:rFonts w:ascii="Arial" w:hAnsi="Arial" w:cs="Arial"/>
          <w:lang w:val="hr-HR"/>
        </w:rPr>
        <w:t xml:space="preserve"> </w:t>
      </w:r>
      <w:r w:rsidR="002D327F">
        <w:rPr>
          <w:rFonts w:ascii="Arial" w:hAnsi="Arial" w:cs="Arial"/>
          <w:lang w:val="en-GB"/>
        </w:rPr>
        <w:t xml:space="preserve">along with the </w:t>
      </w:r>
      <w:r w:rsidR="000C7B58">
        <w:rPr>
          <w:rFonts w:ascii="Arial" w:hAnsi="Arial" w:cs="Arial"/>
          <w:lang w:val="en-GB"/>
        </w:rPr>
        <w:t xml:space="preserve">commitment to adapt the legislation and institutional setting in the field of human rights to the </w:t>
      </w:r>
      <w:r w:rsidR="00807DC3">
        <w:rPr>
          <w:rFonts w:ascii="Arial" w:hAnsi="Arial" w:cs="Arial"/>
          <w:lang w:val="en-GB"/>
        </w:rPr>
        <w:t>Council of Europe’s</w:t>
      </w:r>
      <w:bookmarkStart w:id="0" w:name="_GoBack"/>
      <w:bookmarkEnd w:id="0"/>
      <w:r w:rsidR="000C7B58">
        <w:rPr>
          <w:rFonts w:ascii="Arial" w:hAnsi="Arial" w:cs="Arial"/>
          <w:lang w:val="en-GB"/>
        </w:rPr>
        <w:t xml:space="preserve"> standards</w:t>
      </w:r>
      <w:r w:rsidR="00677DD2">
        <w:rPr>
          <w:rFonts w:ascii="Arial" w:hAnsi="Arial" w:cs="Arial"/>
          <w:lang w:val="en-GB"/>
        </w:rPr>
        <w:t>.</w:t>
      </w:r>
    </w:p>
    <w:p w:rsidR="002714CC" w:rsidRPr="00D51F50" w:rsidRDefault="002714CC" w:rsidP="00677DD2">
      <w:pPr>
        <w:ind w:right="-360"/>
        <w:jc w:val="both"/>
        <w:rPr>
          <w:rFonts w:ascii="Arial" w:hAnsi="Arial" w:cs="Arial"/>
          <w:lang w:val="en-GB"/>
        </w:rPr>
      </w:pPr>
    </w:p>
    <w:p w:rsidR="000669B6" w:rsidRPr="00D51F50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  <w:r w:rsidRPr="00D51F50">
        <w:rPr>
          <w:rFonts w:ascii="Arial" w:hAnsi="Arial" w:cs="Arial"/>
          <w:lang w:val="en-GB"/>
        </w:rPr>
        <w:t xml:space="preserve">Montenegro </w:t>
      </w:r>
      <w:r>
        <w:rPr>
          <w:rFonts w:ascii="Arial" w:hAnsi="Arial" w:cs="Arial"/>
          <w:lang w:val="en-GB"/>
        </w:rPr>
        <w:t xml:space="preserve">recommends to </w:t>
      </w:r>
      <w:r w:rsidR="005476FB" w:rsidRPr="005476FB">
        <w:rPr>
          <w:rFonts w:ascii="Arial" w:hAnsi="Arial" w:cs="Arial"/>
          <w:lang w:val="en-GB"/>
        </w:rPr>
        <w:t>Azerbaijan</w:t>
      </w:r>
      <w:r w:rsidRPr="00D51F50">
        <w:rPr>
          <w:rFonts w:ascii="Arial" w:hAnsi="Arial" w:cs="Arial"/>
          <w:lang w:val="en-GB"/>
        </w:rPr>
        <w:t>:</w:t>
      </w:r>
    </w:p>
    <w:p w:rsidR="000669B6" w:rsidRPr="00677DD2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</w:p>
    <w:p w:rsidR="00677DD2" w:rsidRPr="00677DD2" w:rsidRDefault="00677DD2" w:rsidP="00677DD2">
      <w:pPr>
        <w:numPr>
          <w:ilvl w:val="0"/>
          <w:numId w:val="1"/>
        </w:numPr>
        <w:ind w:right="-360"/>
        <w:jc w:val="both"/>
        <w:rPr>
          <w:rFonts w:ascii="Arial" w:hAnsi="Arial" w:cs="Arial"/>
          <w:lang w:val="en-GB"/>
        </w:rPr>
      </w:pPr>
      <w:r w:rsidRPr="00677DD2">
        <w:rPr>
          <w:rFonts w:ascii="Arial" w:hAnsi="Arial" w:cs="Arial"/>
          <w:lang w:val="en-GB"/>
        </w:rPr>
        <w:t>To strengthen the institutional independence of the Office of the Commissioner and ensure that it carries out its mandate in full compliance with Paris Principles;</w:t>
      </w:r>
    </w:p>
    <w:p w:rsidR="00677DD2" w:rsidRPr="00677DD2" w:rsidRDefault="00677DD2" w:rsidP="00677DD2">
      <w:pPr>
        <w:ind w:left="180" w:right="-360"/>
        <w:jc w:val="both"/>
        <w:rPr>
          <w:rFonts w:ascii="Arial" w:hAnsi="Arial" w:cs="Arial"/>
          <w:lang w:val="en-GB"/>
        </w:rPr>
      </w:pPr>
    </w:p>
    <w:p w:rsidR="00BA4808" w:rsidRPr="00677DD2" w:rsidRDefault="00BA4808" w:rsidP="000669B6">
      <w:pPr>
        <w:numPr>
          <w:ilvl w:val="0"/>
          <w:numId w:val="1"/>
        </w:numPr>
        <w:ind w:right="-360"/>
        <w:jc w:val="both"/>
        <w:rPr>
          <w:rFonts w:ascii="Arial" w:hAnsi="Arial" w:cs="Arial"/>
          <w:lang w:val="en-GB"/>
        </w:rPr>
      </w:pPr>
      <w:r w:rsidRPr="00677DD2">
        <w:rPr>
          <w:rFonts w:ascii="Arial" w:hAnsi="Arial" w:cs="Arial"/>
          <w:lang w:val="en-GB"/>
        </w:rPr>
        <w:t>To</w:t>
      </w:r>
      <w:r w:rsidRPr="00677DD2">
        <w:t xml:space="preserve"> </w:t>
      </w:r>
      <w:r w:rsidRPr="00677DD2">
        <w:rPr>
          <w:rFonts w:ascii="Arial" w:hAnsi="Arial" w:cs="Arial"/>
          <w:lang w:val="en-GB"/>
        </w:rPr>
        <w:t>strengthen its efforts to resolve the remaining statelessness cases, including by developing and adopting a legislative framework for a statelessness determination procedure;</w:t>
      </w:r>
    </w:p>
    <w:p w:rsidR="00D153F4" w:rsidRPr="00677DD2" w:rsidRDefault="00D153F4" w:rsidP="00677DD2">
      <w:pPr>
        <w:rPr>
          <w:rFonts w:ascii="Arial" w:hAnsi="Arial" w:cs="Arial"/>
          <w:lang w:val="en-GB"/>
        </w:rPr>
      </w:pPr>
    </w:p>
    <w:p w:rsidR="00D153F4" w:rsidRPr="00677DD2" w:rsidRDefault="00D153F4" w:rsidP="00677DD2">
      <w:pPr>
        <w:numPr>
          <w:ilvl w:val="0"/>
          <w:numId w:val="1"/>
        </w:numPr>
        <w:ind w:right="-360"/>
        <w:jc w:val="both"/>
        <w:rPr>
          <w:rFonts w:ascii="Arial" w:hAnsi="Arial" w:cs="Arial"/>
          <w:lang w:val="en-GB"/>
        </w:rPr>
      </w:pPr>
      <w:r w:rsidRPr="00677DD2">
        <w:rPr>
          <w:rFonts w:ascii="Arial" w:hAnsi="Arial" w:cs="Arial"/>
          <w:lang w:val="en-GB"/>
        </w:rPr>
        <w:t>To repeal any legal provisions that unduly restrict the activities of non-governmental organizations, including in relation to their registration and access to grants</w:t>
      </w:r>
      <w:r w:rsidR="00677DD2" w:rsidRPr="00677DD2">
        <w:rPr>
          <w:rFonts w:ascii="Arial" w:hAnsi="Arial" w:cs="Arial"/>
          <w:lang w:val="en-GB"/>
        </w:rPr>
        <w:t>.</w:t>
      </w:r>
    </w:p>
    <w:p w:rsidR="003E3178" w:rsidRDefault="003E3178" w:rsidP="00677DD2">
      <w:pPr>
        <w:ind w:right="-360"/>
        <w:jc w:val="both"/>
        <w:rPr>
          <w:rFonts w:ascii="Arial" w:hAnsi="Arial" w:cs="Arial"/>
          <w:lang w:val="en-GB"/>
        </w:rPr>
      </w:pPr>
    </w:p>
    <w:p w:rsidR="003E3178" w:rsidRDefault="003E3178" w:rsidP="003E3178">
      <w:pPr>
        <w:ind w:left="180" w:right="-360"/>
        <w:jc w:val="both"/>
        <w:rPr>
          <w:rFonts w:ascii="Arial" w:hAnsi="Arial" w:cs="Arial"/>
          <w:lang w:val="en-GB"/>
        </w:rPr>
      </w:pPr>
    </w:p>
    <w:p w:rsidR="000669B6" w:rsidRPr="003E3178" w:rsidRDefault="000669B6" w:rsidP="003E3178">
      <w:pPr>
        <w:ind w:left="-180" w:right="-360"/>
        <w:jc w:val="both"/>
        <w:rPr>
          <w:rFonts w:ascii="Arial" w:hAnsi="Arial" w:cs="Arial"/>
          <w:lang w:val="en-GB"/>
        </w:rPr>
      </w:pPr>
      <w:r w:rsidRPr="003E3178">
        <w:rPr>
          <w:rFonts w:ascii="Arial" w:hAnsi="Arial" w:cs="Arial"/>
          <w:lang w:val="en-GB"/>
        </w:rPr>
        <w:t xml:space="preserve">We wish </w:t>
      </w:r>
      <w:r w:rsidR="002714CC" w:rsidRPr="003E3178">
        <w:rPr>
          <w:rFonts w:ascii="Arial" w:hAnsi="Arial" w:cs="Arial"/>
          <w:lang w:val="en-GB"/>
        </w:rPr>
        <w:t xml:space="preserve">Azerbaijan </w:t>
      </w:r>
      <w:r w:rsidRPr="003E3178">
        <w:rPr>
          <w:rFonts w:ascii="Arial" w:hAnsi="Arial" w:cs="Arial"/>
          <w:lang w:val="en-GB"/>
        </w:rPr>
        <w:t xml:space="preserve">a successful UPR </w:t>
      </w:r>
      <w:r w:rsidR="002714CC" w:rsidRPr="003E3178">
        <w:rPr>
          <w:rFonts w:ascii="Arial" w:hAnsi="Arial" w:cs="Arial"/>
          <w:lang w:val="en-GB"/>
        </w:rPr>
        <w:t>cycle</w:t>
      </w:r>
      <w:r w:rsidRPr="003E3178">
        <w:rPr>
          <w:rFonts w:ascii="Arial" w:hAnsi="Arial" w:cs="Arial"/>
          <w:lang w:val="en-GB"/>
        </w:rPr>
        <w:t>.</w:t>
      </w:r>
    </w:p>
    <w:p w:rsidR="000669B6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</w:p>
    <w:p w:rsidR="00207D8A" w:rsidRDefault="00813FAE" w:rsidP="002555D4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t</w:t>
      </w:r>
      <w:r w:rsidR="000669B6">
        <w:rPr>
          <w:rFonts w:ascii="Arial" w:hAnsi="Arial" w:cs="Arial"/>
          <w:lang w:val="en-GB"/>
        </w:rPr>
        <w:t>hank you.</w:t>
      </w:r>
    </w:p>
    <w:p w:rsidR="008639A7" w:rsidRDefault="008639A7" w:rsidP="002555D4">
      <w:pPr>
        <w:ind w:left="-180" w:right="-360"/>
        <w:jc w:val="both"/>
        <w:rPr>
          <w:rFonts w:ascii="Arial" w:hAnsi="Arial" w:cs="Arial"/>
          <w:lang w:val="en-GB"/>
        </w:rPr>
      </w:pPr>
    </w:p>
    <w:p w:rsidR="008639A7" w:rsidRDefault="008639A7" w:rsidP="002555D4">
      <w:pPr>
        <w:ind w:left="-180" w:right="-360"/>
        <w:jc w:val="both"/>
        <w:rPr>
          <w:rFonts w:ascii="Arial" w:hAnsi="Arial" w:cs="Arial"/>
          <w:lang w:val="en-GB"/>
        </w:rPr>
      </w:pPr>
    </w:p>
    <w:p w:rsidR="005810AA" w:rsidRDefault="005810AA" w:rsidP="002555D4">
      <w:pPr>
        <w:ind w:left="-180" w:right="-360"/>
        <w:jc w:val="both"/>
        <w:rPr>
          <w:rFonts w:ascii="Arial" w:hAnsi="Arial" w:cs="Arial"/>
          <w:u w:val="single"/>
          <w:lang w:val="en-GB"/>
        </w:rPr>
      </w:pPr>
    </w:p>
    <w:p w:rsidR="008639A7" w:rsidRPr="002555D4" w:rsidRDefault="008639A7" w:rsidP="002555D4">
      <w:pPr>
        <w:ind w:left="-180" w:right="-360"/>
        <w:jc w:val="both"/>
        <w:rPr>
          <w:rFonts w:ascii="Arial" w:hAnsi="Arial" w:cs="Arial"/>
          <w:lang w:val="en-GB"/>
        </w:rPr>
      </w:pPr>
    </w:p>
    <w:sectPr w:rsidR="008639A7" w:rsidRPr="002555D4" w:rsidSect="000653B2">
      <w:headerReference w:type="default" r:id="rId7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E48" w:rsidRDefault="007F4E48">
      <w:r>
        <w:separator/>
      </w:r>
    </w:p>
  </w:endnote>
  <w:endnote w:type="continuationSeparator" w:id="0">
    <w:p w:rsidR="007F4E48" w:rsidRDefault="007F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E48" w:rsidRDefault="007F4E48">
      <w:r>
        <w:separator/>
      </w:r>
    </w:p>
  </w:footnote>
  <w:footnote w:type="continuationSeparator" w:id="0">
    <w:p w:rsidR="007F4E48" w:rsidRDefault="007F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ED" w:rsidRPr="00D477ED" w:rsidRDefault="007F4E48" w:rsidP="00D477ED">
    <w:pPr>
      <w:pStyle w:val="Header"/>
      <w:jc w:val="right"/>
      <w:rPr>
        <w:rFonts w:ascii="Arial" w:hAnsi="Arial" w:cs="Arial"/>
        <w:i/>
        <w:sz w:val="22"/>
        <w:szCs w:val="22"/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45C57"/>
    <w:multiLevelType w:val="hybridMultilevel"/>
    <w:tmpl w:val="5AF0355E"/>
    <w:lvl w:ilvl="0" w:tplc="3FEEE61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E4"/>
    <w:rsid w:val="000669B6"/>
    <w:rsid w:val="00071EF0"/>
    <w:rsid w:val="000A3EBB"/>
    <w:rsid w:val="000C7B58"/>
    <w:rsid w:val="001100E2"/>
    <w:rsid w:val="001B4D8A"/>
    <w:rsid w:val="001C2B64"/>
    <w:rsid w:val="00207D8A"/>
    <w:rsid w:val="002555D4"/>
    <w:rsid w:val="002714CC"/>
    <w:rsid w:val="00275335"/>
    <w:rsid w:val="00275695"/>
    <w:rsid w:val="002C2DF2"/>
    <w:rsid w:val="002D0D24"/>
    <w:rsid w:val="002D327F"/>
    <w:rsid w:val="00324B18"/>
    <w:rsid w:val="003A3B90"/>
    <w:rsid w:val="003C5321"/>
    <w:rsid w:val="003E3178"/>
    <w:rsid w:val="00413E3F"/>
    <w:rsid w:val="004650A1"/>
    <w:rsid w:val="004F6FC8"/>
    <w:rsid w:val="005476FB"/>
    <w:rsid w:val="005810AA"/>
    <w:rsid w:val="005A7E57"/>
    <w:rsid w:val="00601D42"/>
    <w:rsid w:val="00635636"/>
    <w:rsid w:val="006617EA"/>
    <w:rsid w:val="00677DD2"/>
    <w:rsid w:val="006A60E0"/>
    <w:rsid w:val="00711964"/>
    <w:rsid w:val="00780C8F"/>
    <w:rsid w:val="007D00E6"/>
    <w:rsid w:val="007E2B59"/>
    <w:rsid w:val="007F4E48"/>
    <w:rsid w:val="00802265"/>
    <w:rsid w:val="00805AF7"/>
    <w:rsid w:val="00807DC3"/>
    <w:rsid w:val="00813FAE"/>
    <w:rsid w:val="00831CD6"/>
    <w:rsid w:val="008570BA"/>
    <w:rsid w:val="008639A7"/>
    <w:rsid w:val="00880596"/>
    <w:rsid w:val="00937DCF"/>
    <w:rsid w:val="009418F0"/>
    <w:rsid w:val="00956A50"/>
    <w:rsid w:val="00962FCC"/>
    <w:rsid w:val="00A27237"/>
    <w:rsid w:val="00A44531"/>
    <w:rsid w:val="00A6539D"/>
    <w:rsid w:val="00AA06E4"/>
    <w:rsid w:val="00B81B45"/>
    <w:rsid w:val="00BA4808"/>
    <w:rsid w:val="00C067BB"/>
    <w:rsid w:val="00C375B6"/>
    <w:rsid w:val="00C466EC"/>
    <w:rsid w:val="00D153F4"/>
    <w:rsid w:val="00D25D7D"/>
    <w:rsid w:val="00D77016"/>
    <w:rsid w:val="00D7726E"/>
    <w:rsid w:val="00D9028B"/>
    <w:rsid w:val="00DF20F9"/>
    <w:rsid w:val="00DF7FE6"/>
    <w:rsid w:val="00E30BCE"/>
    <w:rsid w:val="00E32C8F"/>
    <w:rsid w:val="00E604B1"/>
    <w:rsid w:val="00EC2FAC"/>
    <w:rsid w:val="00EC6A39"/>
    <w:rsid w:val="00F2337E"/>
    <w:rsid w:val="00F419DC"/>
    <w:rsid w:val="00F47694"/>
    <w:rsid w:val="00F539D7"/>
    <w:rsid w:val="00F853F7"/>
    <w:rsid w:val="00F908AF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3894"/>
  <w15:chartTrackingRefBased/>
  <w15:docId w15:val="{DC18395F-5E88-4C24-8635-1B76CEE1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9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9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9B6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66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9B6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B6"/>
    <w:rPr>
      <w:rFonts w:ascii="Segoe UI" w:eastAsia="MS Mincho" w:hAnsi="Segoe UI" w:cs="Segoe UI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D15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08F2CF8-8C46-4EC4-ADC0-F5D4B1499B0F}"/>
</file>

<file path=customXml/itemProps2.xml><?xml version="1.0" encoding="utf-8"?>
<ds:datastoreItem xmlns:ds="http://schemas.openxmlformats.org/officeDocument/2006/customXml" ds:itemID="{E5736AB4-9F98-4C7E-AC6F-4ED4BEF0A778}"/>
</file>

<file path=customXml/itemProps3.xml><?xml version="1.0" encoding="utf-8"?>
<ds:datastoreItem xmlns:ds="http://schemas.openxmlformats.org/officeDocument/2006/customXml" ds:itemID="{E2B78AA7-6BC3-4AFF-A0FD-8B6734724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2</dc:creator>
  <cp:keywords/>
  <dc:description/>
  <cp:lastModifiedBy>Mission 2</cp:lastModifiedBy>
  <cp:revision>3</cp:revision>
  <dcterms:created xsi:type="dcterms:W3CDTF">2023-11-07T10:12:00Z</dcterms:created>
  <dcterms:modified xsi:type="dcterms:W3CDTF">2023-11-07T10:28:00Z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