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689EE503" w14:textId="7777777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65547CCD" w14:textId="77777777" w:rsidR="0029166A" w:rsidRPr="00AE3AA0" w:rsidRDefault="0029166A" w:rsidP="00184EDA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0"/>
                <w:szCs w:val="20"/>
                <w:lang w:val="en-US" w:eastAsia="ja-JP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7544B9F5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535990" w14:paraId="1B3805C0" w14:textId="7777777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32C48B6B" w14:textId="77777777" w:rsidR="0029166A" w:rsidRPr="000301ED" w:rsidRDefault="00567EF7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GB" w:eastAsia="ja-JP"/>
              </w:rPr>
              <w:drawing>
                <wp:anchor distT="0" distB="0" distL="114300" distR="114300" simplePos="0" relativeHeight="251657728" behindDoc="0" locked="0" layoutInCell="1" allowOverlap="1" wp14:anchorId="016793CF" wp14:editId="7D9E1123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39254DDB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6728970F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331AE777" w14:textId="77777777">
        <w:trPr>
          <w:gridAfter w:val="2"/>
          <w:wAfter w:w="113" w:type="dxa"/>
        </w:trPr>
        <w:tc>
          <w:tcPr>
            <w:tcW w:w="2420" w:type="dxa"/>
          </w:tcPr>
          <w:p w14:paraId="4F414E6C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176A5D81" w14:textId="6E4FBC7A" w:rsidR="0029166A" w:rsidRPr="00C9180C" w:rsidRDefault="002461AC" w:rsidP="00BA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y-first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703F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7–18 November</w:t>
            </w:r>
            <w:r w:rsidR="00184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2022</w:t>
            </w:r>
          </w:p>
          <w:p w14:paraId="6691D04A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F08A18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60EE5AB6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666D8940" w14:textId="7777777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2A2E8790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56137627" w14:textId="444B827E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2461AC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43A8A403" w14:textId="378D558A" w:rsidR="0029166A" w:rsidRPr="00687BA8" w:rsidRDefault="00526B80" w:rsidP="000A042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Wednesday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>,</w:t>
            </w:r>
            <w:r w:rsidR="00186012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lang w:val="en-US"/>
              </w:rPr>
              <w:t>9</w:t>
            </w:r>
            <w:r w:rsidR="002461AC">
              <w:rPr>
                <w:rFonts w:ascii="Times New Roman" w:hAnsi="Times New Roman"/>
                <w:b/>
                <w:color w:val="FFFFFF"/>
                <w:lang w:val="en-US"/>
              </w:rPr>
              <w:t xml:space="preserve"> November 2022</w:t>
            </w:r>
          </w:p>
        </w:tc>
        <w:tc>
          <w:tcPr>
            <w:tcW w:w="1481" w:type="dxa"/>
            <w:shd w:val="clear" w:color="auto" w:fill="0958A7"/>
          </w:tcPr>
          <w:p w14:paraId="37A8EBD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 w14:paraId="302E86E1" w14:textId="77777777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14:paraId="133741C8" w14:textId="77777777"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49E34DD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23A569F7" w14:textId="77777777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F921AF" w14:textId="0787379B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FD48DB">
              <w:rPr>
                <w:rFonts w:ascii="Times New Roman" w:hAnsi="Times New Roman"/>
                <w:b/>
                <w:lang w:val="en-US"/>
              </w:rPr>
              <w:t xml:space="preserve"> 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526B80">
              <w:rPr>
                <w:rFonts w:ascii="Times New Roman" w:hAnsi="Times New Roman"/>
                <w:b/>
                <w:lang w:val="en-US"/>
              </w:rPr>
              <w:t>5</w:t>
            </w:r>
            <w:r w:rsidR="00526B80" w:rsidRPr="00526B80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526B80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078DF60B" w14:textId="77777777"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6C24B1B3" w14:textId="76AC4663" w:rsidR="0029166A" w:rsidRDefault="003542A8" w:rsidP="004253CB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9F2B7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526B80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Indonesia</w:t>
            </w:r>
          </w:p>
          <w:p w14:paraId="56C21896" w14:textId="0B040760" w:rsidR="00874E14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AB53A4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703FEB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526B80">
              <w:rPr>
                <w:rFonts w:ascii="Times New Roman" w:hAnsi="Times New Roman"/>
                <w:spacing w:val="-4"/>
                <w:lang w:val="en-US"/>
              </w:rPr>
              <w:t>Indonesia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 xml:space="preserve"> in accordance with paragraph 15 (a) of the annex to HRC resolution 5/1 and paragraph 5 of the annex to HRC resolution 16/21</w:t>
            </w:r>
            <w:r w:rsidR="007F6FCA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9" w:history="1">
              <w:r w:rsidR="008249D2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</w:t>
              </w:r>
              <w:r w:rsidR="008249D2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2461AC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41</w:t>
              </w:r>
              <w:r w:rsidR="00141196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526B80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IDN</w:t>
              </w:r>
              <w:r w:rsidR="008249D2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6F36165E" w14:textId="0AF78F88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0" w:history="1">
              <w:r w:rsidR="00327371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41</w:t>
              </w:r>
              <w:r w:rsidR="00327371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526B80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IDN</w:t>
              </w:r>
              <w:r w:rsidR="00327371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0905193A" w14:textId="7FC6F744" w:rsidR="00A253F7" w:rsidRPr="00874E14" w:rsidRDefault="008D16D9" w:rsidP="006C7469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1" w:history="1">
              <w:r w:rsidR="00327371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41</w:t>
              </w:r>
              <w:r w:rsidR="00327371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526B80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IDN</w:t>
              </w:r>
              <w:r w:rsidR="008A67F3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29166A" w:rsidRPr="000301ED" w14:paraId="5FC0D128" w14:textId="77777777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1BDEDC6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14:paraId="4FBB4E8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67CDE63A" w14:textId="77777777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24E13F" w14:textId="1239980C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  <w:r w:rsidR="00FD48DB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A671A7">
              <w:rPr>
                <w:rFonts w:ascii="Times New Roman" w:hAnsi="Times New Roman"/>
                <w:b/>
                <w:lang w:val="en-US"/>
              </w:rPr>
              <w:t>– 18</w:t>
            </w:r>
            <w:r w:rsidR="00FD48DB">
              <w:rPr>
                <w:rFonts w:ascii="Times New Roman" w:hAnsi="Times New Roman"/>
                <w:b/>
                <w:lang w:val="en-US"/>
              </w:rPr>
              <w:t>:00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526B80">
              <w:rPr>
                <w:rFonts w:ascii="Times New Roman" w:hAnsi="Times New Roman"/>
                <w:b/>
                <w:lang w:val="en-US"/>
              </w:rPr>
              <w:t>6</w:t>
            </w:r>
            <w:r w:rsidR="002461AC" w:rsidRPr="002461AC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2461A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38E1EF13" w14:textId="77777777" w:rsidR="0029166A" w:rsidRPr="00687BA8" w:rsidRDefault="0029166A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4E9D86CB" w14:textId="7A4784E3" w:rsidR="00327371" w:rsidRDefault="00141196" w:rsidP="003542A8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of </w:t>
            </w:r>
            <w:r w:rsidR="00526B80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Finland</w:t>
            </w:r>
          </w:p>
          <w:p w14:paraId="0C48F0E4" w14:textId="3858D54A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1316DA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526B80">
              <w:rPr>
                <w:rFonts w:ascii="Times New Roman" w:hAnsi="Times New Roman"/>
                <w:spacing w:val="-4"/>
                <w:lang w:val="en-US"/>
              </w:rPr>
              <w:t>Finland</w:t>
            </w:r>
            <w:r w:rsidR="007F6FCA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="00327371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</w:t>
              </w:r>
              <w:r w:rsidR="00327371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W</w:t>
              </w:r>
              <w:r w:rsidR="00327371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G.6/</w:t>
              </w:r>
              <w:r w:rsidR="002461AC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41</w:t>
              </w:r>
              <w:r w:rsidR="00327371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526B80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FIN</w:t>
              </w:r>
              <w:r w:rsidR="00C9180C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1</w:t>
              </w:r>
            </w:hyperlink>
          </w:p>
          <w:p w14:paraId="654E17D1" w14:textId="32A1F5B5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3" w:history="1">
              <w:r w:rsidR="00327371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41</w:t>
              </w:r>
              <w:r w:rsidR="00327371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526B80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FIN</w:t>
              </w:r>
              <w:r w:rsidR="00327371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7FF4A794" w14:textId="3B5DD16A" w:rsidR="00327371" w:rsidRPr="00807C38" w:rsidRDefault="008D16D9" w:rsidP="006C7469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eastAsia="SimSun"/>
                <w:szCs w:val="24"/>
                <w:lang w:val="en-US" w:eastAsia="zh-CN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4" w:history="1">
              <w:r w:rsidR="00327371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41</w:t>
              </w:r>
              <w:r w:rsidR="00327371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526B80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FIN</w:t>
              </w:r>
              <w:r w:rsidR="00327371" w:rsidRPr="00526B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/3</w:t>
              </w:r>
            </w:hyperlink>
          </w:p>
        </w:tc>
      </w:tr>
    </w:tbl>
    <w:p w14:paraId="61063CE0" w14:textId="77777777" w:rsidR="0029166A" w:rsidRPr="00533384" w:rsidRDefault="0029166A" w:rsidP="0029166A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475A363D" w14:textId="77777777" w:rsidR="00EB45A1" w:rsidRDefault="00A16CAD" w:rsidP="00327371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A16CAD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A16CAD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upload the written version of their oral statements through the online system for inscription on the lists of speakers (https://uprreg.ohchr.org/) before the opening of the review.</w:t>
      </w:r>
    </w:p>
    <w:p w14:paraId="6ADFAC55" w14:textId="6219ED45" w:rsidR="002D289D" w:rsidRPr="002D289D" w:rsidRDefault="002D289D" w:rsidP="002D289D">
      <w:pPr>
        <w:numPr>
          <w:ilvl w:val="0"/>
          <w:numId w:val="36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 w:rsidR="007E5FB1"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5" w:history="1">
        <w:r w:rsidRPr="002461AC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</w:t>
        </w:r>
        <w:r w:rsidRPr="002461AC">
          <w:rPr>
            <w:rStyle w:val="Hyperlink"/>
            <w:rFonts w:ascii="Times New Roman" w:hAnsi="Times New Roman"/>
            <w:sz w:val="20"/>
            <w:szCs w:val="20"/>
            <w:lang w:val="en-US"/>
          </w:rPr>
          <w:t>a</w:t>
        </w:r>
        <w:r w:rsidRPr="002461AC">
          <w:rPr>
            <w:rStyle w:val="Hyperlink"/>
            <w:rFonts w:ascii="Times New Roman" w:hAnsi="Times New Roman"/>
            <w:sz w:val="20"/>
            <w:szCs w:val="20"/>
            <w:lang w:val="en-US"/>
          </w:rPr>
          <w:t>ge</w:t>
        </w:r>
      </w:hyperlink>
    </w:p>
    <w:p w14:paraId="21E3217B" w14:textId="40B4F4DD" w:rsidR="00533384" w:rsidRPr="0001443B" w:rsidRDefault="002461AC" w:rsidP="0001443B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Identity photo-badges valid for the session may be obtained by all delegations, if needed, from the UNOG Security and Safety Section at the “Villa Les </w:t>
      </w:r>
      <w:proofErr w:type="spellStart"/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>Feuillantines</w:t>
      </w:r>
      <w:proofErr w:type="spellEnd"/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” (Avenue de la </w:t>
      </w:r>
      <w:proofErr w:type="spellStart"/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>Paix</w:t>
      </w:r>
      <w:proofErr w:type="spellEnd"/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13, 1211 Genève 10) from 8.00 a.m. to 4.45 p.m. upon presentation of a copy of their letter of accreditation and an identity document.</w:t>
      </w:r>
    </w:p>
    <w:p w14:paraId="2188350A" w14:textId="6BCC8287" w:rsidR="0001443B" w:rsidRPr="0001443B" w:rsidRDefault="0001443B" w:rsidP="0001443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01443B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01443B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</w:t>
      </w:r>
      <w:r w:rsidR="007F6FCA">
        <w:rPr>
          <w:rFonts w:ascii="Times New Roman" w:hAnsi="Times New Roman"/>
          <w:b/>
          <w:sz w:val="20"/>
          <w:szCs w:val="20"/>
          <w:lang w:val="en-GB"/>
        </w:rPr>
        <w:t>the</w:t>
      </w:r>
      <w:r w:rsidR="00535990">
        <w:rPr>
          <w:rFonts w:ascii="Times New Roman" w:hAnsi="Times New Roman"/>
          <w:b/>
          <w:sz w:val="20"/>
          <w:szCs w:val="20"/>
          <w:lang w:val="en-GB"/>
        </w:rPr>
        <w:t xml:space="preserve"> room XX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>.</w:t>
      </w:r>
    </w:p>
    <w:sectPr w:rsidR="0001443B" w:rsidRPr="0001443B" w:rsidSect="00FD2BD1">
      <w:headerReference w:type="even" r:id="rId16"/>
      <w:headerReference w:type="default" r:id="rId17"/>
      <w:footerReference w:type="default" r:id="rId18"/>
      <w:footnotePr>
        <w:numFmt w:val="chicago"/>
      </w:footnotePr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72E3" w14:textId="77777777" w:rsidR="00FB120D" w:rsidRDefault="00FB120D" w:rsidP="00A3692F">
      <w:pPr>
        <w:spacing w:after="0" w:line="240" w:lineRule="auto"/>
      </w:pPr>
      <w:r>
        <w:separator/>
      </w:r>
    </w:p>
  </w:endnote>
  <w:endnote w:type="continuationSeparator" w:id="0">
    <w:p w14:paraId="671E5C2F" w14:textId="77777777" w:rsidR="00FB120D" w:rsidRDefault="00FB120D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6B82" w14:textId="77777777" w:rsidR="007D17A0" w:rsidRPr="00276180" w:rsidRDefault="007D17A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6FE24B71" w14:textId="77777777" w:rsidR="007D17A0" w:rsidRDefault="007D1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492E" w14:textId="77777777" w:rsidR="00FB120D" w:rsidRDefault="00FB120D" w:rsidP="00A3692F">
      <w:pPr>
        <w:spacing w:after="0" w:line="240" w:lineRule="auto"/>
      </w:pPr>
      <w:r>
        <w:separator/>
      </w:r>
    </w:p>
  </w:footnote>
  <w:footnote w:type="continuationSeparator" w:id="0">
    <w:p w14:paraId="4B289FE1" w14:textId="77777777" w:rsidR="00FB120D" w:rsidRDefault="00FB120D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23"/>
      <w:gridCol w:w="3023"/>
      <w:gridCol w:w="3024"/>
    </w:tblGrid>
    <w:tr w:rsidR="007D17A0" w:rsidRPr="00F47269" w14:paraId="05BD97FA" w14:textId="77777777" w:rsidTr="00F47269">
      <w:tc>
        <w:tcPr>
          <w:tcW w:w="3095" w:type="dxa"/>
          <w:shd w:val="clear" w:color="auto" w:fill="auto"/>
        </w:tcPr>
        <w:p w14:paraId="052E9615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5" w:type="dxa"/>
          <w:shd w:val="clear" w:color="auto" w:fill="auto"/>
        </w:tcPr>
        <w:p w14:paraId="67404977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284F5005" w14:textId="77777777" w:rsidR="007D17A0" w:rsidRPr="00F47269" w:rsidRDefault="007D17A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557C0239" w14:textId="77777777" w:rsidR="007D17A0" w:rsidRDefault="007D17A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7D17A0" w:rsidRPr="00705E99" w14:paraId="6257F533" w14:textId="77777777">
      <w:trPr>
        <w:trHeight w:val="720"/>
      </w:trPr>
      <w:tc>
        <w:tcPr>
          <w:tcW w:w="2220" w:type="dxa"/>
        </w:tcPr>
        <w:p w14:paraId="4A8ADC07" w14:textId="77777777" w:rsidR="007D17A0" w:rsidRPr="004F3239" w:rsidRDefault="007D17A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4C27DDC5" w14:textId="77777777" w:rsidR="007D17A0" w:rsidRPr="004F3239" w:rsidRDefault="007D17A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3073B79E" w14:textId="77777777" w:rsidR="007D17A0" w:rsidRPr="004F3239" w:rsidRDefault="007D17A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63668655" w14:textId="77777777" w:rsidR="007D17A0" w:rsidRPr="00705E99" w:rsidRDefault="007D17A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3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55B24BF5"/>
    <w:multiLevelType w:val="hybridMultilevel"/>
    <w:tmpl w:val="9A58A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16"/>
  </w:num>
  <w:num w:numId="4">
    <w:abstractNumId w:val="22"/>
  </w:num>
  <w:num w:numId="5">
    <w:abstractNumId w:val="28"/>
  </w:num>
  <w:num w:numId="6">
    <w:abstractNumId w:val="18"/>
  </w:num>
  <w:num w:numId="7">
    <w:abstractNumId w:val="1"/>
  </w:num>
  <w:num w:numId="8">
    <w:abstractNumId w:val="0"/>
  </w:num>
  <w:num w:numId="9">
    <w:abstractNumId w:val="15"/>
  </w:num>
  <w:num w:numId="10">
    <w:abstractNumId w:val="21"/>
  </w:num>
  <w:num w:numId="11">
    <w:abstractNumId w:val="2"/>
  </w:num>
  <w:num w:numId="12">
    <w:abstractNumId w:val="3"/>
  </w:num>
  <w:num w:numId="13">
    <w:abstractNumId w:val="25"/>
  </w:num>
  <w:num w:numId="14">
    <w:abstractNumId w:val="24"/>
  </w:num>
  <w:num w:numId="15">
    <w:abstractNumId w:val="17"/>
  </w:num>
  <w:num w:numId="16">
    <w:abstractNumId w:val="14"/>
  </w:num>
  <w:num w:numId="17">
    <w:abstractNumId w:val="29"/>
  </w:num>
  <w:num w:numId="18">
    <w:abstractNumId w:val="27"/>
  </w:num>
  <w:num w:numId="19">
    <w:abstractNumId w:val="20"/>
  </w:num>
  <w:num w:numId="20">
    <w:abstractNumId w:val="32"/>
  </w:num>
  <w:num w:numId="21">
    <w:abstractNumId w:val="23"/>
  </w:num>
  <w:num w:numId="22">
    <w:abstractNumId w:val="13"/>
  </w:num>
  <w:num w:numId="23">
    <w:abstractNumId w:val="11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1"/>
  </w:num>
  <w:num w:numId="33">
    <w:abstractNumId w:val="19"/>
  </w:num>
  <w:num w:numId="34">
    <w:abstractNumId w:val="32"/>
  </w:num>
  <w:num w:numId="35">
    <w:abstractNumId w:val="3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91"/>
    <w:rsid w:val="0001443B"/>
    <w:rsid w:val="000301ED"/>
    <w:rsid w:val="00032313"/>
    <w:rsid w:val="0003504F"/>
    <w:rsid w:val="0005273C"/>
    <w:rsid w:val="00063109"/>
    <w:rsid w:val="00064F10"/>
    <w:rsid w:val="00074C16"/>
    <w:rsid w:val="00083A3D"/>
    <w:rsid w:val="00086749"/>
    <w:rsid w:val="0009376B"/>
    <w:rsid w:val="0009434E"/>
    <w:rsid w:val="0009751C"/>
    <w:rsid w:val="000A0421"/>
    <w:rsid w:val="000A14B5"/>
    <w:rsid w:val="000C5A27"/>
    <w:rsid w:val="000C6A59"/>
    <w:rsid w:val="000D39B4"/>
    <w:rsid w:val="000D435D"/>
    <w:rsid w:val="000E01E5"/>
    <w:rsid w:val="000E1AD3"/>
    <w:rsid w:val="000E6494"/>
    <w:rsid w:val="00100961"/>
    <w:rsid w:val="001063A9"/>
    <w:rsid w:val="00111C6A"/>
    <w:rsid w:val="001269DB"/>
    <w:rsid w:val="00127F29"/>
    <w:rsid w:val="001316DA"/>
    <w:rsid w:val="00141196"/>
    <w:rsid w:val="00147A6C"/>
    <w:rsid w:val="00147AE2"/>
    <w:rsid w:val="00153842"/>
    <w:rsid w:val="00155A3A"/>
    <w:rsid w:val="00160C00"/>
    <w:rsid w:val="00161B49"/>
    <w:rsid w:val="001645FF"/>
    <w:rsid w:val="00170591"/>
    <w:rsid w:val="00181D24"/>
    <w:rsid w:val="00184A18"/>
    <w:rsid w:val="00184EDA"/>
    <w:rsid w:val="00185534"/>
    <w:rsid w:val="00186012"/>
    <w:rsid w:val="00186EF8"/>
    <w:rsid w:val="00192FED"/>
    <w:rsid w:val="001A1089"/>
    <w:rsid w:val="001A34D1"/>
    <w:rsid w:val="001C3FDC"/>
    <w:rsid w:val="001C426F"/>
    <w:rsid w:val="001C683B"/>
    <w:rsid w:val="001D6AC4"/>
    <w:rsid w:val="001F7752"/>
    <w:rsid w:val="00215A70"/>
    <w:rsid w:val="00221E17"/>
    <w:rsid w:val="00241A6A"/>
    <w:rsid w:val="00245B39"/>
    <w:rsid w:val="002461AC"/>
    <w:rsid w:val="00250EC1"/>
    <w:rsid w:val="00254A3B"/>
    <w:rsid w:val="002554B8"/>
    <w:rsid w:val="0026468F"/>
    <w:rsid w:val="00270444"/>
    <w:rsid w:val="00276180"/>
    <w:rsid w:val="00276330"/>
    <w:rsid w:val="0029166A"/>
    <w:rsid w:val="002937CD"/>
    <w:rsid w:val="002A29FB"/>
    <w:rsid w:val="002A3AB2"/>
    <w:rsid w:val="002A3F72"/>
    <w:rsid w:val="002A428C"/>
    <w:rsid w:val="002B5F51"/>
    <w:rsid w:val="002C4294"/>
    <w:rsid w:val="002C47A5"/>
    <w:rsid w:val="002D289D"/>
    <w:rsid w:val="002D37D6"/>
    <w:rsid w:val="002E5830"/>
    <w:rsid w:val="002F287E"/>
    <w:rsid w:val="00301C86"/>
    <w:rsid w:val="0030451D"/>
    <w:rsid w:val="003109D7"/>
    <w:rsid w:val="00316DB4"/>
    <w:rsid w:val="00327371"/>
    <w:rsid w:val="0033311B"/>
    <w:rsid w:val="0033795A"/>
    <w:rsid w:val="00340881"/>
    <w:rsid w:val="003542A8"/>
    <w:rsid w:val="0036107E"/>
    <w:rsid w:val="00370F97"/>
    <w:rsid w:val="00371D2D"/>
    <w:rsid w:val="003737D5"/>
    <w:rsid w:val="003754A2"/>
    <w:rsid w:val="00380E4A"/>
    <w:rsid w:val="00385516"/>
    <w:rsid w:val="0038598A"/>
    <w:rsid w:val="00386027"/>
    <w:rsid w:val="00390753"/>
    <w:rsid w:val="003A0F16"/>
    <w:rsid w:val="003A6E0A"/>
    <w:rsid w:val="003B4131"/>
    <w:rsid w:val="003B55F6"/>
    <w:rsid w:val="003C4B9B"/>
    <w:rsid w:val="003D6274"/>
    <w:rsid w:val="003D64F2"/>
    <w:rsid w:val="003E02E7"/>
    <w:rsid w:val="003E0870"/>
    <w:rsid w:val="003E09D7"/>
    <w:rsid w:val="003F02E3"/>
    <w:rsid w:val="003F4610"/>
    <w:rsid w:val="003F4740"/>
    <w:rsid w:val="003F6AD4"/>
    <w:rsid w:val="00400622"/>
    <w:rsid w:val="0040491D"/>
    <w:rsid w:val="004253CB"/>
    <w:rsid w:val="00426DA4"/>
    <w:rsid w:val="00430976"/>
    <w:rsid w:val="004312A7"/>
    <w:rsid w:val="0043257D"/>
    <w:rsid w:val="00432B76"/>
    <w:rsid w:val="00447967"/>
    <w:rsid w:val="00453269"/>
    <w:rsid w:val="00455B07"/>
    <w:rsid w:val="004640D9"/>
    <w:rsid w:val="00464EA5"/>
    <w:rsid w:val="00471E17"/>
    <w:rsid w:val="004746CC"/>
    <w:rsid w:val="00481C4B"/>
    <w:rsid w:val="0048486D"/>
    <w:rsid w:val="004951CE"/>
    <w:rsid w:val="004A0F93"/>
    <w:rsid w:val="004A361F"/>
    <w:rsid w:val="004C1ED9"/>
    <w:rsid w:val="004D1575"/>
    <w:rsid w:val="004D429B"/>
    <w:rsid w:val="004E30CE"/>
    <w:rsid w:val="004E7892"/>
    <w:rsid w:val="004F3239"/>
    <w:rsid w:val="005115D7"/>
    <w:rsid w:val="005227A4"/>
    <w:rsid w:val="0052335E"/>
    <w:rsid w:val="00526B80"/>
    <w:rsid w:val="00533384"/>
    <w:rsid w:val="00535990"/>
    <w:rsid w:val="00546D6C"/>
    <w:rsid w:val="0055655E"/>
    <w:rsid w:val="005566E7"/>
    <w:rsid w:val="00561B1B"/>
    <w:rsid w:val="00567EF7"/>
    <w:rsid w:val="00574B18"/>
    <w:rsid w:val="00587BAB"/>
    <w:rsid w:val="00594432"/>
    <w:rsid w:val="005A23E7"/>
    <w:rsid w:val="005B1697"/>
    <w:rsid w:val="005B7276"/>
    <w:rsid w:val="005D15F9"/>
    <w:rsid w:val="005D3B61"/>
    <w:rsid w:val="005D7B6C"/>
    <w:rsid w:val="00601CF2"/>
    <w:rsid w:val="00601F7D"/>
    <w:rsid w:val="0062217B"/>
    <w:rsid w:val="00624E00"/>
    <w:rsid w:val="00634199"/>
    <w:rsid w:val="0065209D"/>
    <w:rsid w:val="00660824"/>
    <w:rsid w:val="00672046"/>
    <w:rsid w:val="00682CDC"/>
    <w:rsid w:val="00687BA8"/>
    <w:rsid w:val="006A023C"/>
    <w:rsid w:val="006A676A"/>
    <w:rsid w:val="006B28AB"/>
    <w:rsid w:val="006C7469"/>
    <w:rsid w:val="006D2107"/>
    <w:rsid w:val="006E0949"/>
    <w:rsid w:val="006E4AC8"/>
    <w:rsid w:val="006E755D"/>
    <w:rsid w:val="006F3727"/>
    <w:rsid w:val="006F66A4"/>
    <w:rsid w:val="006F7C36"/>
    <w:rsid w:val="00703FEB"/>
    <w:rsid w:val="00705E99"/>
    <w:rsid w:val="007077A4"/>
    <w:rsid w:val="0071299C"/>
    <w:rsid w:val="00714BD7"/>
    <w:rsid w:val="0072090A"/>
    <w:rsid w:val="00725099"/>
    <w:rsid w:val="0072635C"/>
    <w:rsid w:val="007279F1"/>
    <w:rsid w:val="00742F87"/>
    <w:rsid w:val="00756B2A"/>
    <w:rsid w:val="0076585A"/>
    <w:rsid w:val="00785E3D"/>
    <w:rsid w:val="007875E7"/>
    <w:rsid w:val="007910DA"/>
    <w:rsid w:val="007921F2"/>
    <w:rsid w:val="007924D2"/>
    <w:rsid w:val="007A22AA"/>
    <w:rsid w:val="007A57A8"/>
    <w:rsid w:val="007A61E4"/>
    <w:rsid w:val="007B0B2F"/>
    <w:rsid w:val="007C5637"/>
    <w:rsid w:val="007C62E8"/>
    <w:rsid w:val="007D17A0"/>
    <w:rsid w:val="007E5FB1"/>
    <w:rsid w:val="007F1E8C"/>
    <w:rsid w:val="007F3F6F"/>
    <w:rsid w:val="007F6FCA"/>
    <w:rsid w:val="0080082C"/>
    <w:rsid w:val="00803961"/>
    <w:rsid w:val="00807C38"/>
    <w:rsid w:val="0082213B"/>
    <w:rsid w:val="008249D2"/>
    <w:rsid w:val="00835F30"/>
    <w:rsid w:val="00836E44"/>
    <w:rsid w:val="0083768A"/>
    <w:rsid w:val="00840D05"/>
    <w:rsid w:val="0084615D"/>
    <w:rsid w:val="008524CA"/>
    <w:rsid w:val="008531ED"/>
    <w:rsid w:val="00874E14"/>
    <w:rsid w:val="008754CE"/>
    <w:rsid w:val="00883CF0"/>
    <w:rsid w:val="00893B28"/>
    <w:rsid w:val="008A67F3"/>
    <w:rsid w:val="008C0121"/>
    <w:rsid w:val="008D16D9"/>
    <w:rsid w:val="008D2C41"/>
    <w:rsid w:val="008D2D88"/>
    <w:rsid w:val="008E1D2A"/>
    <w:rsid w:val="008E3F72"/>
    <w:rsid w:val="008F151F"/>
    <w:rsid w:val="008F3541"/>
    <w:rsid w:val="009004A9"/>
    <w:rsid w:val="00911B4E"/>
    <w:rsid w:val="00924D0A"/>
    <w:rsid w:val="00944941"/>
    <w:rsid w:val="00952C50"/>
    <w:rsid w:val="00954D60"/>
    <w:rsid w:val="00970FF9"/>
    <w:rsid w:val="009714BE"/>
    <w:rsid w:val="00997F31"/>
    <w:rsid w:val="009A0A31"/>
    <w:rsid w:val="009A49E0"/>
    <w:rsid w:val="009B77D7"/>
    <w:rsid w:val="009C5532"/>
    <w:rsid w:val="009C59D7"/>
    <w:rsid w:val="009D0198"/>
    <w:rsid w:val="009D158A"/>
    <w:rsid w:val="009D5446"/>
    <w:rsid w:val="009F2B75"/>
    <w:rsid w:val="009F4733"/>
    <w:rsid w:val="00A0057D"/>
    <w:rsid w:val="00A073CA"/>
    <w:rsid w:val="00A11C0B"/>
    <w:rsid w:val="00A157FE"/>
    <w:rsid w:val="00A161CD"/>
    <w:rsid w:val="00A16CAD"/>
    <w:rsid w:val="00A253F7"/>
    <w:rsid w:val="00A313F7"/>
    <w:rsid w:val="00A3692F"/>
    <w:rsid w:val="00A40732"/>
    <w:rsid w:val="00A47FD8"/>
    <w:rsid w:val="00A524B3"/>
    <w:rsid w:val="00A56E38"/>
    <w:rsid w:val="00A63DC1"/>
    <w:rsid w:val="00A65755"/>
    <w:rsid w:val="00A671A7"/>
    <w:rsid w:val="00A74DF2"/>
    <w:rsid w:val="00A77FAA"/>
    <w:rsid w:val="00A84398"/>
    <w:rsid w:val="00AA466B"/>
    <w:rsid w:val="00AB53A4"/>
    <w:rsid w:val="00AB5780"/>
    <w:rsid w:val="00AE3AA0"/>
    <w:rsid w:val="00B01C01"/>
    <w:rsid w:val="00B03994"/>
    <w:rsid w:val="00B058AD"/>
    <w:rsid w:val="00B079AF"/>
    <w:rsid w:val="00B14164"/>
    <w:rsid w:val="00B21E4D"/>
    <w:rsid w:val="00B24A68"/>
    <w:rsid w:val="00B2515B"/>
    <w:rsid w:val="00B26869"/>
    <w:rsid w:val="00B27001"/>
    <w:rsid w:val="00B327F3"/>
    <w:rsid w:val="00B34AC7"/>
    <w:rsid w:val="00B379E8"/>
    <w:rsid w:val="00B47F5A"/>
    <w:rsid w:val="00B540C3"/>
    <w:rsid w:val="00B55471"/>
    <w:rsid w:val="00B5616B"/>
    <w:rsid w:val="00B61594"/>
    <w:rsid w:val="00B66EA7"/>
    <w:rsid w:val="00B72B4B"/>
    <w:rsid w:val="00B76435"/>
    <w:rsid w:val="00B77837"/>
    <w:rsid w:val="00B841E1"/>
    <w:rsid w:val="00B84EEC"/>
    <w:rsid w:val="00B93D70"/>
    <w:rsid w:val="00B95800"/>
    <w:rsid w:val="00BA0B04"/>
    <w:rsid w:val="00BA67EA"/>
    <w:rsid w:val="00BD3F4D"/>
    <w:rsid w:val="00BF0F42"/>
    <w:rsid w:val="00BF5930"/>
    <w:rsid w:val="00C00D91"/>
    <w:rsid w:val="00C03A8C"/>
    <w:rsid w:val="00C0457E"/>
    <w:rsid w:val="00C0749D"/>
    <w:rsid w:val="00C354F2"/>
    <w:rsid w:val="00C4082A"/>
    <w:rsid w:val="00C52706"/>
    <w:rsid w:val="00C54E01"/>
    <w:rsid w:val="00C57269"/>
    <w:rsid w:val="00C60721"/>
    <w:rsid w:val="00C66607"/>
    <w:rsid w:val="00C85110"/>
    <w:rsid w:val="00C9180C"/>
    <w:rsid w:val="00C93710"/>
    <w:rsid w:val="00C97DAF"/>
    <w:rsid w:val="00CA3824"/>
    <w:rsid w:val="00CA56A1"/>
    <w:rsid w:val="00CB7D05"/>
    <w:rsid w:val="00CD0DFD"/>
    <w:rsid w:val="00CE30CB"/>
    <w:rsid w:val="00CF159D"/>
    <w:rsid w:val="00D002CA"/>
    <w:rsid w:val="00D04A72"/>
    <w:rsid w:val="00D06DC7"/>
    <w:rsid w:val="00D234E2"/>
    <w:rsid w:val="00D24B3D"/>
    <w:rsid w:val="00D267FE"/>
    <w:rsid w:val="00D36175"/>
    <w:rsid w:val="00D46310"/>
    <w:rsid w:val="00D54F84"/>
    <w:rsid w:val="00D6600D"/>
    <w:rsid w:val="00D86B9B"/>
    <w:rsid w:val="00D90396"/>
    <w:rsid w:val="00D9194A"/>
    <w:rsid w:val="00D97A85"/>
    <w:rsid w:val="00DB060F"/>
    <w:rsid w:val="00DB172F"/>
    <w:rsid w:val="00DC07B7"/>
    <w:rsid w:val="00DC680B"/>
    <w:rsid w:val="00DD0B7D"/>
    <w:rsid w:val="00DD2AF6"/>
    <w:rsid w:val="00DD7530"/>
    <w:rsid w:val="00DE58AE"/>
    <w:rsid w:val="00DF09BF"/>
    <w:rsid w:val="00DF3A2D"/>
    <w:rsid w:val="00E01A5F"/>
    <w:rsid w:val="00E1483D"/>
    <w:rsid w:val="00E240BC"/>
    <w:rsid w:val="00E349D1"/>
    <w:rsid w:val="00E46380"/>
    <w:rsid w:val="00E5661D"/>
    <w:rsid w:val="00E60C3D"/>
    <w:rsid w:val="00E850FF"/>
    <w:rsid w:val="00E9324A"/>
    <w:rsid w:val="00E9551B"/>
    <w:rsid w:val="00EA10F6"/>
    <w:rsid w:val="00EA2CE9"/>
    <w:rsid w:val="00EB149D"/>
    <w:rsid w:val="00EB27D1"/>
    <w:rsid w:val="00EB45A1"/>
    <w:rsid w:val="00EE31B0"/>
    <w:rsid w:val="00EF2AEC"/>
    <w:rsid w:val="00F03A29"/>
    <w:rsid w:val="00F04025"/>
    <w:rsid w:val="00F11638"/>
    <w:rsid w:val="00F17D31"/>
    <w:rsid w:val="00F259B3"/>
    <w:rsid w:val="00F26D9E"/>
    <w:rsid w:val="00F335A2"/>
    <w:rsid w:val="00F43725"/>
    <w:rsid w:val="00F47269"/>
    <w:rsid w:val="00F60874"/>
    <w:rsid w:val="00F65095"/>
    <w:rsid w:val="00F739C3"/>
    <w:rsid w:val="00F81CB3"/>
    <w:rsid w:val="00F83577"/>
    <w:rsid w:val="00F8728B"/>
    <w:rsid w:val="00FB120D"/>
    <w:rsid w:val="00FB1760"/>
    <w:rsid w:val="00FC00E8"/>
    <w:rsid w:val="00FC5554"/>
    <w:rsid w:val="00FD2BD1"/>
    <w:rsid w:val="00FD48DB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CDCCD"/>
  <w15:docId w15:val="{309EF89E-1A0A-46B5-8066-089388AF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4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ohchr.org/en/hr-bodies/upr/fi-inde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ohchr.org/en/hr-bodies/upr/fi-inde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hchr.org/en/hr-bodies/upr/id-inde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prmeetings.ohchr.org/Sessions/41/Pages/default.aspx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www.ohchr.org/en/hr-bodies/upr/id-inde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hchr.org/en/hr-bodies/upr/id-index" TargetMode="External"/><Relationship Id="rId14" Type="http://schemas.openxmlformats.org/officeDocument/2006/relationships/hyperlink" Target="https://www.ohchr.org/en/hr-bodies/upr/fi-index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2591574AF6C4298599436428AAF7C" ma:contentTypeVersion="1" ma:contentTypeDescription="Create a new document." ma:contentTypeScope="" ma:versionID="5ad84595b53df205425d193f414af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04F7F0-C237-4E00-A6A5-4DE51D83EBA7}"/>
</file>

<file path=customXml/itemProps2.xml><?xml version="1.0" encoding="utf-8"?>
<ds:datastoreItem xmlns:ds="http://schemas.openxmlformats.org/officeDocument/2006/customXml" ds:itemID="{0434374A-2B98-48C7-96AC-84B02F769EE2}"/>
</file>

<file path=customXml/itemProps3.xml><?xml version="1.0" encoding="utf-8"?>
<ds:datastoreItem xmlns:ds="http://schemas.openxmlformats.org/officeDocument/2006/customXml" ds:itemID="{1517FA6A-6E92-49C2-9C9E-BF96EE06D4F3}"/>
</file>

<file path=customXml/itemProps4.xml><?xml version="1.0" encoding="utf-8"?>
<ds:datastoreItem xmlns:ds="http://schemas.openxmlformats.org/officeDocument/2006/customXml" ds:itemID="{BDDC231F-8AFD-4099-9539-661CBB83FB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2176</Characters>
  <Application>Microsoft Office Word</Application>
  <DocSecurity>0</DocSecurity>
  <Lines>32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2546</CharactersWithSpaces>
  <SharedDoc>false</SharedDoc>
  <HLinks>
    <vt:vector size="54" baseType="variant"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2883695</vt:i4>
      </vt:variant>
      <vt:variant>
        <vt:i4>18</vt:i4>
      </vt:variant>
      <vt:variant>
        <vt:i4>0</vt:i4>
      </vt:variant>
      <vt:variant>
        <vt:i4>5</vt:i4>
      </vt:variant>
      <vt:variant>
        <vt:lpwstr>http://www2.ohchr.org/english/bodies/hrcouncil/</vt:lpwstr>
      </vt:variant>
      <vt:variant>
        <vt:lpwstr/>
      </vt:variant>
      <vt:variant>
        <vt:i4>4128878</vt:i4>
      </vt:variant>
      <vt:variant>
        <vt:i4>15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12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</cp:lastModifiedBy>
  <cp:revision>3</cp:revision>
  <cp:lastPrinted>2013-01-17T10:02:00Z</cp:lastPrinted>
  <dcterms:created xsi:type="dcterms:W3CDTF">2022-11-08T12:02:00Z</dcterms:created>
  <dcterms:modified xsi:type="dcterms:W3CDTF">2022-11-08T12:08:00Z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0x0101005542591574AF6C4298599436428AAF7C</vt:lpwstr>
  </property>
</Properties>
</file>