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D8" w:rsidRPr="00320CD8" w:rsidRDefault="00320CD8" w:rsidP="00320CD8">
      <w:pPr>
        <w:tabs>
          <w:tab w:val="left" w:pos="0"/>
        </w:tabs>
        <w:ind w:right="90"/>
        <w:jc w:val="center"/>
        <w:rPr>
          <w:rFonts w:ascii="Sylfaen" w:hAnsi="Sylfaen" w:cs="Arial"/>
          <w:b/>
          <w:bCs/>
          <w:color w:val="0D0D0D" w:themeColor="text1" w:themeTint="F2"/>
          <w:sz w:val="22"/>
          <w:szCs w:val="22"/>
          <w:lang w:val="en-GB"/>
        </w:rPr>
      </w:pPr>
      <w:r w:rsidRPr="00320CD8">
        <w:rPr>
          <w:rFonts w:ascii="Sylfaen" w:hAnsi="Sylfaen"/>
          <w:b/>
          <w:noProof/>
          <w:color w:val="000000"/>
          <w:sz w:val="22"/>
          <w:szCs w:val="22"/>
        </w:rPr>
        <w:drawing>
          <wp:inline distT="0" distB="0" distL="0" distR="0" wp14:anchorId="2933C1E8" wp14:editId="41A2A325">
            <wp:extent cx="997886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879" cy="919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CD8" w:rsidRPr="00320CD8" w:rsidRDefault="00320CD8" w:rsidP="00320CD8">
      <w:pPr>
        <w:ind w:left="180" w:right="90"/>
        <w:jc w:val="center"/>
        <w:rPr>
          <w:rFonts w:ascii="Sylfaen" w:hAnsi="Sylfaen" w:cs="Arial"/>
          <w:b/>
          <w:bCs/>
          <w:color w:val="0D0D0D" w:themeColor="text1" w:themeTint="F2"/>
          <w:sz w:val="22"/>
          <w:szCs w:val="22"/>
          <w:lang w:val="en-GB"/>
        </w:rPr>
      </w:pPr>
      <w:r w:rsidRPr="00320CD8">
        <w:rPr>
          <w:rFonts w:ascii="Sylfaen" w:hAnsi="Sylfaen" w:cs="Arial"/>
          <w:b/>
          <w:bCs/>
          <w:color w:val="0D0D0D" w:themeColor="text1" w:themeTint="F2"/>
          <w:sz w:val="22"/>
          <w:szCs w:val="22"/>
          <w:lang w:val="en-GB"/>
        </w:rPr>
        <w:t>GEORGIA</w:t>
      </w:r>
    </w:p>
    <w:p w:rsidR="00320CD8" w:rsidRPr="00320CD8" w:rsidRDefault="00320CD8" w:rsidP="00320CD8">
      <w:pPr>
        <w:ind w:left="180" w:right="90"/>
        <w:jc w:val="center"/>
        <w:rPr>
          <w:rFonts w:ascii="Sylfaen" w:hAnsi="Sylfaen" w:cs="Arial"/>
          <w:bCs/>
          <w:color w:val="0D0D0D" w:themeColor="text1" w:themeTint="F2"/>
          <w:sz w:val="22"/>
          <w:szCs w:val="22"/>
          <w:lang w:val="en-GB"/>
        </w:rPr>
      </w:pPr>
    </w:p>
    <w:p w:rsidR="00320CD8" w:rsidRPr="00320CD8" w:rsidRDefault="00320CD8" w:rsidP="00320CD8">
      <w:pPr>
        <w:ind w:left="180" w:right="90"/>
        <w:jc w:val="center"/>
        <w:rPr>
          <w:rFonts w:ascii="Sylfaen" w:hAnsi="Sylfaen" w:cs="Arial"/>
          <w:b/>
          <w:bCs/>
          <w:color w:val="0D0D0D" w:themeColor="text1" w:themeTint="F2"/>
          <w:sz w:val="22"/>
          <w:szCs w:val="22"/>
          <w:lang w:val="en-GB"/>
        </w:rPr>
      </w:pPr>
      <w:r w:rsidRPr="00320CD8">
        <w:rPr>
          <w:rFonts w:ascii="Sylfaen" w:hAnsi="Sylfaen" w:cs="Arial"/>
          <w:b/>
          <w:bCs/>
          <w:color w:val="0D0D0D" w:themeColor="text1" w:themeTint="F2"/>
          <w:sz w:val="22"/>
          <w:szCs w:val="22"/>
          <w:lang w:val="en-GB"/>
        </w:rPr>
        <w:t>Statement by Mr. Temuri Pipia,</w:t>
      </w:r>
    </w:p>
    <w:p w:rsidR="00320CD8" w:rsidRPr="00320CD8" w:rsidRDefault="00320CD8" w:rsidP="00320CD8">
      <w:pPr>
        <w:ind w:left="180" w:right="90"/>
        <w:jc w:val="center"/>
        <w:rPr>
          <w:rFonts w:ascii="Sylfaen" w:hAnsi="Sylfaen" w:cs="Arial"/>
          <w:b/>
          <w:bCs/>
          <w:color w:val="0D0D0D" w:themeColor="text1" w:themeTint="F2"/>
          <w:sz w:val="22"/>
          <w:szCs w:val="22"/>
          <w:lang w:val="en-GB"/>
        </w:rPr>
      </w:pPr>
      <w:r w:rsidRPr="00320CD8">
        <w:rPr>
          <w:rFonts w:ascii="Sylfaen" w:hAnsi="Sylfaen" w:cs="Arial"/>
          <w:b/>
          <w:bCs/>
          <w:color w:val="0D0D0D" w:themeColor="text1" w:themeTint="F2"/>
          <w:sz w:val="22"/>
          <w:szCs w:val="22"/>
          <w:lang w:val="en-GB"/>
        </w:rPr>
        <w:t xml:space="preserve">First Secretary of the Permanent Mission </w:t>
      </w:r>
    </w:p>
    <w:p w:rsidR="00391CD1" w:rsidRPr="00320CD8" w:rsidRDefault="00391CD1" w:rsidP="00320CD8">
      <w:pPr>
        <w:ind w:right="20"/>
        <w:jc w:val="center"/>
        <w:rPr>
          <w:rFonts w:ascii="Sylfaen" w:hAnsi="Sylfaen" w:cs="Arial"/>
          <w:b/>
          <w:bCs/>
          <w:color w:val="000000" w:themeColor="text1"/>
          <w:sz w:val="22"/>
          <w:szCs w:val="22"/>
        </w:rPr>
      </w:pPr>
      <w:r w:rsidRPr="00320CD8">
        <w:rPr>
          <w:rFonts w:ascii="Sylfaen" w:hAnsi="Sylfaen" w:cs="Arial"/>
          <w:b/>
          <w:bCs/>
          <w:color w:val="000000" w:themeColor="text1"/>
          <w:sz w:val="22"/>
          <w:szCs w:val="22"/>
        </w:rPr>
        <w:t>The 27</w:t>
      </w:r>
      <w:r w:rsidRPr="00320CD8">
        <w:rPr>
          <w:rFonts w:ascii="Sylfaen" w:hAnsi="Sylfaen" w:cs="Arial"/>
          <w:b/>
          <w:bCs/>
          <w:color w:val="000000" w:themeColor="text1"/>
          <w:sz w:val="22"/>
          <w:szCs w:val="22"/>
          <w:vertAlign w:val="superscript"/>
        </w:rPr>
        <w:t>th</w:t>
      </w:r>
      <w:r w:rsidRPr="00320CD8">
        <w:rPr>
          <w:rFonts w:ascii="Sylfaen" w:hAnsi="Sylfaen" w:cs="Arial"/>
          <w:b/>
          <w:bCs/>
          <w:color w:val="000000" w:themeColor="text1"/>
          <w:sz w:val="22"/>
          <w:szCs w:val="22"/>
        </w:rPr>
        <w:t xml:space="preserve"> Session of the UPR Working Group</w:t>
      </w:r>
    </w:p>
    <w:p w:rsidR="00391CD1" w:rsidRPr="00320CD8" w:rsidRDefault="00391CD1" w:rsidP="00320CD8">
      <w:pPr>
        <w:ind w:right="20"/>
        <w:jc w:val="center"/>
        <w:rPr>
          <w:rFonts w:ascii="Sylfaen" w:hAnsi="Sylfaen" w:cs="Arial"/>
          <w:b/>
          <w:bCs/>
          <w:color w:val="000000" w:themeColor="text1"/>
          <w:sz w:val="22"/>
          <w:szCs w:val="22"/>
        </w:rPr>
      </w:pPr>
      <w:r w:rsidRPr="00320CD8">
        <w:rPr>
          <w:rFonts w:ascii="Sylfaen" w:hAnsi="Sylfaen" w:cs="Arial"/>
          <w:b/>
          <w:bCs/>
          <w:color w:val="000000" w:themeColor="text1"/>
          <w:sz w:val="22"/>
          <w:szCs w:val="22"/>
        </w:rPr>
        <w:t>UPR of Tunisia</w:t>
      </w:r>
    </w:p>
    <w:p w:rsidR="00391CD1" w:rsidRPr="00320CD8" w:rsidRDefault="00391CD1" w:rsidP="00320CD8">
      <w:pPr>
        <w:ind w:right="20"/>
        <w:jc w:val="right"/>
        <w:rPr>
          <w:rFonts w:ascii="Sylfaen" w:hAnsi="Sylfaen" w:cs="Arial"/>
          <w:bCs/>
          <w:color w:val="000000" w:themeColor="text1"/>
          <w:sz w:val="22"/>
          <w:szCs w:val="22"/>
        </w:rPr>
      </w:pPr>
    </w:p>
    <w:p w:rsidR="00AD23E8" w:rsidRPr="00320CD8" w:rsidRDefault="00AD23E8" w:rsidP="00320CD8">
      <w:pPr>
        <w:ind w:right="20"/>
        <w:jc w:val="right"/>
        <w:rPr>
          <w:rFonts w:ascii="Sylfaen" w:hAnsi="Sylfaen" w:cs="Arial"/>
          <w:bCs/>
          <w:color w:val="000000" w:themeColor="text1"/>
          <w:sz w:val="22"/>
          <w:szCs w:val="22"/>
        </w:rPr>
      </w:pPr>
    </w:p>
    <w:p w:rsidR="00391CD1" w:rsidRPr="00320CD8" w:rsidRDefault="00391CD1" w:rsidP="00320CD8">
      <w:pPr>
        <w:ind w:right="20"/>
        <w:jc w:val="right"/>
        <w:rPr>
          <w:rFonts w:ascii="Sylfaen" w:hAnsi="Sylfaen" w:cs="Arial"/>
          <w:bCs/>
          <w:color w:val="000000" w:themeColor="text1"/>
          <w:sz w:val="22"/>
          <w:szCs w:val="22"/>
        </w:rPr>
      </w:pPr>
      <w:r w:rsidRPr="00320CD8">
        <w:rPr>
          <w:rFonts w:ascii="Sylfaen" w:hAnsi="Sylfaen" w:cs="Arial"/>
          <w:bCs/>
          <w:color w:val="000000" w:themeColor="text1"/>
          <w:sz w:val="22"/>
          <w:szCs w:val="22"/>
        </w:rPr>
        <w:t>Geneva, 2 May 2017</w:t>
      </w:r>
    </w:p>
    <w:p w:rsidR="00391CD1" w:rsidRPr="00320CD8" w:rsidRDefault="00391CD1" w:rsidP="00320CD8">
      <w:pPr>
        <w:ind w:right="20"/>
        <w:jc w:val="both"/>
        <w:rPr>
          <w:rFonts w:ascii="Sylfaen" w:hAnsi="Sylfaen"/>
          <w:sz w:val="22"/>
          <w:szCs w:val="22"/>
        </w:rPr>
      </w:pPr>
    </w:p>
    <w:p w:rsidR="006253CB" w:rsidRPr="00320CD8" w:rsidRDefault="006253CB" w:rsidP="00320CD8">
      <w:pPr>
        <w:ind w:right="20"/>
        <w:jc w:val="both"/>
        <w:rPr>
          <w:rFonts w:ascii="Sylfaen" w:hAnsi="Sylfaen"/>
          <w:sz w:val="22"/>
          <w:szCs w:val="22"/>
        </w:rPr>
      </w:pPr>
    </w:p>
    <w:p w:rsidR="00391CD1" w:rsidRPr="00320CD8" w:rsidRDefault="00391CD1" w:rsidP="00320CD8">
      <w:pPr>
        <w:tabs>
          <w:tab w:val="left" w:pos="9356"/>
        </w:tabs>
        <w:ind w:right="20"/>
        <w:jc w:val="both"/>
        <w:rPr>
          <w:rFonts w:ascii="Sylfaen" w:hAnsi="Sylfaen"/>
          <w:sz w:val="22"/>
          <w:szCs w:val="22"/>
        </w:rPr>
      </w:pPr>
      <w:r w:rsidRPr="00320CD8">
        <w:rPr>
          <w:rFonts w:ascii="Sylfaen" w:hAnsi="Sylfaen"/>
          <w:sz w:val="22"/>
          <w:szCs w:val="22"/>
        </w:rPr>
        <w:t>We warmly welcome the Delegation of Tunisia and thank the Head of Delegation for the presentation.</w:t>
      </w:r>
    </w:p>
    <w:p w:rsidR="005565BF" w:rsidRPr="00320CD8" w:rsidRDefault="005565BF" w:rsidP="00320CD8">
      <w:pPr>
        <w:tabs>
          <w:tab w:val="left" w:pos="9356"/>
        </w:tabs>
        <w:ind w:right="20"/>
        <w:jc w:val="both"/>
        <w:rPr>
          <w:rFonts w:ascii="Sylfaen" w:hAnsi="Sylfaen"/>
          <w:sz w:val="22"/>
          <w:szCs w:val="22"/>
        </w:rPr>
      </w:pPr>
    </w:p>
    <w:p w:rsidR="005565BF" w:rsidRPr="00320CD8" w:rsidRDefault="005565BF" w:rsidP="00320CD8">
      <w:pPr>
        <w:tabs>
          <w:tab w:val="left" w:pos="9356"/>
        </w:tabs>
        <w:ind w:right="20"/>
        <w:jc w:val="both"/>
        <w:rPr>
          <w:rFonts w:ascii="Sylfaen" w:hAnsi="Sylfaen"/>
          <w:sz w:val="22"/>
          <w:szCs w:val="22"/>
        </w:rPr>
      </w:pPr>
      <w:r w:rsidRPr="00320CD8">
        <w:rPr>
          <w:rFonts w:ascii="Sylfaen" w:hAnsi="Sylfaen"/>
          <w:sz w:val="22"/>
          <w:szCs w:val="22"/>
        </w:rPr>
        <w:t xml:space="preserve">We welcome the submission of the mid-term report by Tunisia in 2014 regarding the results achieved in implementing recommendations accepted during </w:t>
      </w:r>
      <w:r w:rsidR="007E449E" w:rsidRPr="00320CD8">
        <w:rPr>
          <w:rFonts w:ascii="Sylfaen" w:hAnsi="Sylfaen"/>
          <w:sz w:val="22"/>
          <w:szCs w:val="22"/>
        </w:rPr>
        <w:t xml:space="preserve">its second </w:t>
      </w:r>
      <w:r w:rsidRPr="00320CD8">
        <w:rPr>
          <w:rFonts w:ascii="Sylfaen" w:hAnsi="Sylfaen"/>
          <w:sz w:val="22"/>
          <w:szCs w:val="22"/>
        </w:rPr>
        <w:t xml:space="preserve">UPR and further encourage the </w:t>
      </w:r>
      <w:r w:rsidR="00C7414F" w:rsidRPr="00320CD8">
        <w:rPr>
          <w:rFonts w:ascii="Sylfaen" w:hAnsi="Sylfaen"/>
          <w:sz w:val="22"/>
          <w:szCs w:val="22"/>
        </w:rPr>
        <w:t>G</w:t>
      </w:r>
      <w:r w:rsidRPr="00320CD8">
        <w:rPr>
          <w:rFonts w:ascii="Sylfaen" w:hAnsi="Sylfaen"/>
          <w:sz w:val="22"/>
          <w:szCs w:val="22"/>
        </w:rPr>
        <w:t>ov</w:t>
      </w:r>
      <w:r w:rsidR="009B169D" w:rsidRPr="00320CD8">
        <w:rPr>
          <w:rFonts w:ascii="Sylfaen" w:hAnsi="Sylfaen"/>
          <w:sz w:val="22"/>
          <w:szCs w:val="22"/>
        </w:rPr>
        <w:t>ernment to follow this practice.</w:t>
      </w:r>
    </w:p>
    <w:p w:rsidR="00372081" w:rsidRPr="00320CD8" w:rsidRDefault="00372081" w:rsidP="00320CD8">
      <w:pPr>
        <w:tabs>
          <w:tab w:val="left" w:pos="9356"/>
        </w:tabs>
        <w:ind w:right="20"/>
        <w:jc w:val="both"/>
        <w:rPr>
          <w:rFonts w:ascii="Sylfaen" w:eastAsia="Times New Roman" w:hAnsi="Sylfaen" w:cs="Times New Roman"/>
          <w:sz w:val="22"/>
          <w:szCs w:val="22"/>
        </w:rPr>
      </w:pPr>
    </w:p>
    <w:p w:rsidR="00372081" w:rsidRPr="00320CD8" w:rsidRDefault="00372081" w:rsidP="00320CD8">
      <w:pPr>
        <w:ind w:right="20"/>
        <w:jc w:val="both"/>
        <w:rPr>
          <w:rFonts w:ascii="Sylfaen" w:hAnsi="Sylfaen"/>
          <w:sz w:val="22"/>
          <w:szCs w:val="22"/>
        </w:rPr>
      </w:pPr>
      <w:r w:rsidRPr="00320CD8">
        <w:rPr>
          <w:rFonts w:ascii="Sylfaen" w:hAnsi="Sylfaen"/>
          <w:sz w:val="22"/>
          <w:szCs w:val="22"/>
        </w:rPr>
        <w:t>Georgia welcomes the establishment of various institutional mechanisms on human rights.</w:t>
      </w:r>
      <w:r w:rsidR="00AD23E8" w:rsidRPr="00320CD8">
        <w:rPr>
          <w:rFonts w:ascii="Sylfaen" w:hAnsi="Sylfaen"/>
          <w:sz w:val="22"/>
          <w:szCs w:val="22"/>
        </w:rPr>
        <w:t xml:space="preserve"> </w:t>
      </w:r>
      <w:r w:rsidRPr="00320CD8">
        <w:rPr>
          <w:rFonts w:ascii="Sylfaen" w:hAnsi="Sylfaen"/>
          <w:sz w:val="22"/>
          <w:szCs w:val="22"/>
        </w:rPr>
        <w:t xml:space="preserve">We highlight efforts aimed at </w:t>
      </w:r>
      <w:r w:rsidR="000D4233" w:rsidRPr="00320CD8">
        <w:rPr>
          <w:rFonts w:ascii="Sylfaen" w:hAnsi="Sylfaen"/>
          <w:sz w:val="22"/>
          <w:szCs w:val="22"/>
        </w:rPr>
        <w:t>strengthening</w:t>
      </w:r>
      <w:r w:rsidRPr="00320CD8">
        <w:rPr>
          <w:rFonts w:ascii="Sylfaen" w:hAnsi="Sylfaen"/>
          <w:sz w:val="22"/>
          <w:szCs w:val="22"/>
        </w:rPr>
        <w:t xml:space="preserve"> </w:t>
      </w:r>
      <w:r w:rsidR="000D4233" w:rsidRPr="00320CD8">
        <w:rPr>
          <w:rFonts w:ascii="Sylfaen" w:hAnsi="Sylfaen"/>
          <w:sz w:val="22"/>
          <w:szCs w:val="22"/>
        </w:rPr>
        <w:t xml:space="preserve">national </w:t>
      </w:r>
      <w:r w:rsidRPr="00320CD8">
        <w:rPr>
          <w:rFonts w:ascii="Sylfaen" w:hAnsi="Sylfaen"/>
          <w:sz w:val="22"/>
          <w:szCs w:val="22"/>
        </w:rPr>
        <w:t>legislati</w:t>
      </w:r>
      <w:r w:rsidR="000D4233" w:rsidRPr="00320CD8">
        <w:rPr>
          <w:rFonts w:ascii="Sylfaen" w:hAnsi="Sylfaen"/>
          <w:sz w:val="22"/>
          <w:szCs w:val="22"/>
        </w:rPr>
        <w:t xml:space="preserve">ve framework, </w:t>
      </w:r>
      <w:r w:rsidRPr="00320CD8">
        <w:rPr>
          <w:rFonts w:ascii="Sylfaen" w:hAnsi="Sylfaen"/>
          <w:sz w:val="22"/>
          <w:szCs w:val="22"/>
        </w:rPr>
        <w:t>including adopt</w:t>
      </w:r>
      <w:r w:rsidR="000D4233" w:rsidRPr="00320CD8">
        <w:rPr>
          <w:rFonts w:ascii="Sylfaen" w:hAnsi="Sylfaen"/>
          <w:sz w:val="22"/>
          <w:szCs w:val="22"/>
        </w:rPr>
        <w:t xml:space="preserve">ion of </w:t>
      </w:r>
      <w:r w:rsidR="009B169D" w:rsidRPr="00320CD8">
        <w:rPr>
          <w:rFonts w:ascii="Sylfaen" w:hAnsi="Sylfaen"/>
          <w:sz w:val="22"/>
          <w:szCs w:val="22"/>
        </w:rPr>
        <w:t xml:space="preserve">the </w:t>
      </w:r>
      <w:r w:rsidR="000D4233" w:rsidRPr="00320CD8">
        <w:rPr>
          <w:rFonts w:ascii="Sylfaen" w:hAnsi="Sylfaen"/>
          <w:sz w:val="22"/>
          <w:szCs w:val="22"/>
        </w:rPr>
        <w:t>Constitution in 2014</w:t>
      </w:r>
      <w:r w:rsidRPr="00320CD8">
        <w:rPr>
          <w:rFonts w:ascii="Sylfaen" w:hAnsi="Sylfaen"/>
          <w:sz w:val="22"/>
          <w:szCs w:val="22"/>
        </w:rPr>
        <w:t xml:space="preserve"> and encourage the Government of Tunisia to further mainstream hum</w:t>
      </w:r>
      <w:r w:rsidR="00320CD8" w:rsidRPr="00320CD8">
        <w:rPr>
          <w:rFonts w:ascii="Sylfaen" w:hAnsi="Sylfaen"/>
          <w:sz w:val="22"/>
          <w:szCs w:val="22"/>
        </w:rPr>
        <w:t>an rights issues at all levels.</w:t>
      </w:r>
    </w:p>
    <w:p w:rsidR="0035348A" w:rsidRPr="00320CD8" w:rsidRDefault="0035348A" w:rsidP="00320CD8">
      <w:pPr>
        <w:tabs>
          <w:tab w:val="left" w:pos="9356"/>
        </w:tabs>
        <w:ind w:right="20"/>
        <w:jc w:val="both"/>
        <w:rPr>
          <w:rFonts w:ascii="Sylfaen" w:hAnsi="Sylfaen"/>
          <w:sz w:val="22"/>
          <w:szCs w:val="22"/>
        </w:rPr>
      </w:pPr>
    </w:p>
    <w:p w:rsidR="00391CD1" w:rsidRPr="00320CD8" w:rsidRDefault="005565BF" w:rsidP="00320CD8">
      <w:pPr>
        <w:tabs>
          <w:tab w:val="left" w:pos="9356"/>
        </w:tabs>
        <w:ind w:right="20"/>
        <w:jc w:val="both"/>
        <w:rPr>
          <w:rFonts w:ascii="Sylfaen" w:hAnsi="Sylfaen"/>
          <w:sz w:val="22"/>
          <w:szCs w:val="22"/>
        </w:rPr>
      </w:pPr>
      <w:r w:rsidRPr="00320CD8">
        <w:rPr>
          <w:rFonts w:ascii="Sylfaen" w:hAnsi="Sylfaen"/>
          <w:sz w:val="22"/>
          <w:szCs w:val="22"/>
        </w:rPr>
        <w:t xml:space="preserve">Georgia would like to </w:t>
      </w:r>
      <w:r w:rsidRPr="00320CD8">
        <w:rPr>
          <w:rFonts w:ascii="Sylfaen" w:hAnsi="Sylfaen"/>
          <w:b/>
          <w:bCs/>
          <w:sz w:val="22"/>
          <w:szCs w:val="22"/>
        </w:rPr>
        <w:t>recommend</w:t>
      </w:r>
      <w:r w:rsidRPr="00320CD8">
        <w:rPr>
          <w:rFonts w:ascii="Sylfaen" w:hAnsi="Sylfaen"/>
          <w:sz w:val="22"/>
          <w:szCs w:val="22"/>
        </w:rPr>
        <w:t xml:space="preserve"> to the Government of Tunisia:</w:t>
      </w:r>
    </w:p>
    <w:p w:rsidR="005565BF" w:rsidRPr="00320CD8" w:rsidRDefault="005565BF" w:rsidP="00320CD8">
      <w:pPr>
        <w:tabs>
          <w:tab w:val="left" w:pos="9356"/>
        </w:tabs>
        <w:ind w:right="20"/>
        <w:jc w:val="both"/>
        <w:rPr>
          <w:rFonts w:ascii="Sylfaen" w:hAnsi="Sylfaen"/>
          <w:sz w:val="22"/>
          <w:szCs w:val="22"/>
        </w:rPr>
      </w:pPr>
    </w:p>
    <w:p w:rsidR="0083139E" w:rsidRPr="00320CD8" w:rsidRDefault="0083139E" w:rsidP="00320CD8">
      <w:pPr>
        <w:pStyle w:val="ListParagraph"/>
        <w:numPr>
          <w:ilvl w:val="0"/>
          <w:numId w:val="2"/>
        </w:numPr>
        <w:ind w:left="360" w:right="20"/>
        <w:jc w:val="both"/>
        <w:rPr>
          <w:rFonts w:ascii="Sylfaen" w:eastAsia="Sylfaen" w:hAnsi="Sylfaen"/>
        </w:rPr>
      </w:pPr>
      <w:r w:rsidRPr="00320CD8">
        <w:rPr>
          <w:rFonts w:ascii="Sylfaen" w:eastAsia="Sylfaen" w:hAnsi="Sylfaen"/>
        </w:rPr>
        <w:t xml:space="preserve">To consider the ratification of </w:t>
      </w:r>
      <w:r w:rsidR="009B169D" w:rsidRPr="00320CD8">
        <w:rPr>
          <w:rFonts w:ascii="Sylfaen" w:eastAsia="Sylfaen" w:hAnsi="Sylfaen"/>
        </w:rPr>
        <w:t>the Optional Protocol to the Convention on the Rights of the Child on a communications procedure;</w:t>
      </w:r>
    </w:p>
    <w:p w:rsidR="0083139E" w:rsidRPr="00320CD8" w:rsidRDefault="0083139E" w:rsidP="00320CD8">
      <w:pPr>
        <w:pStyle w:val="ListParagraph"/>
        <w:numPr>
          <w:ilvl w:val="0"/>
          <w:numId w:val="2"/>
        </w:numPr>
        <w:ind w:left="360" w:right="20"/>
        <w:jc w:val="both"/>
        <w:rPr>
          <w:rFonts w:ascii="Sylfaen" w:eastAsia="Sylfaen" w:hAnsi="Sylfaen"/>
        </w:rPr>
      </w:pPr>
      <w:r w:rsidRPr="00320CD8">
        <w:rPr>
          <w:rFonts w:ascii="Sylfaen" w:eastAsia="Sylfaen" w:hAnsi="Sylfaen"/>
        </w:rPr>
        <w:t xml:space="preserve">To intensify efforts </w:t>
      </w:r>
      <w:r w:rsidR="0035348A" w:rsidRPr="00320CD8">
        <w:rPr>
          <w:rFonts w:ascii="Sylfaen" w:eastAsia="Sylfaen" w:hAnsi="Sylfaen"/>
        </w:rPr>
        <w:t xml:space="preserve">to bring domestic legislation in line with international standards to combat all forms of violence </w:t>
      </w:r>
      <w:r w:rsidR="00286FBB" w:rsidRPr="00320CD8">
        <w:rPr>
          <w:rFonts w:ascii="Sylfaen" w:eastAsia="Sylfaen" w:hAnsi="Sylfaen"/>
        </w:rPr>
        <w:t xml:space="preserve">and discrimination </w:t>
      </w:r>
      <w:r w:rsidR="0035348A" w:rsidRPr="00320CD8">
        <w:rPr>
          <w:rFonts w:ascii="Sylfaen" w:eastAsia="Sylfaen" w:hAnsi="Sylfaen"/>
        </w:rPr>
        <w:t>against women and girls;</w:t>
      </w:r>
    </w:p>
    <w:p w:rsidR="0035348A" w:rsidRPr="00320CD8" w:rsidRDefault="0035348A" w:rsidP="00320CD8">
      <w:pPr>
        <w:pStyle w:val="ListParagraph"/>
        <w:tabs>
          <w:tab w:val="left" w:pos="9356"/>
        </w:tabs>
        <w:ind w:left="0" w:right="20"/>
        <w:jc w:val="both"/>
        <w:rPr>
          <w:rFonts w:ascii="Sylfaen" w:hAnsi="Sylfaen"/>
        </w:rPr>
      </w:pPr>
    </w:p>
    <w:p w:rsidR="0083139E" w:rsidRPr="00B47D03" w:rsidRDefault="0083139E" w:rsidP="00320CD8">
      <w:pPr>
        <w:pStyle w:val="ListParagraph"/>
        <w:tabs>
          <w:tab w:val="left" w:pos="9356"/>
        </w:tabs>
        <w:ind w:left="0" w:right="20"/>
        <w:jc w:val="both"/>
        <w:rPr>
          <w:rFonts w:ascii="Sylfaen" w:hAnsi="Sylfaen"/>
        </w:rPr>
      </w:pPr>
      <w:r w:rsidRPr="00320CD8">
        <w:rPr>
          <w:rFonts w:ascii="Sylfaen" w:hAnsi="Sylfaen"/>
        </w:rPr>
        <w:t>We wish the delegation of Tunisia a successful UPR.</w:t>
      </w:r>
    </w:p>
    <w:p w:rsidR="0083139E" w:rsidRPr="00B47D03" w:rsidRDefault="0083139E" w:rsidP="009B169D">
      <w:pPr>
        <w:tabs>
          <w:tab w:val="left" w:pos="9356"/>
        </w:tabs>
        <w:spacing w:line="276" w:lineRule="auto"/>
        <w:ind w:left="360" w:right="110"/>
        <w:jc w:val="both"/>
        <w:rPr>
          <w:rFonts w:ascii="Sylfaen" w:hAnsi="Sylfaen"/>
          <w:sz w:val="22"/>
          <w:szCs w:val="22"/>
        </w:rPr>
      </w:pPr>
    </w:p>
    <w:p w:rsidR="005314FB" w:rsidRPr="00B47D03" w:rsidRDefault="005314FB" w:rsidP="009B169D">
      <w:pPr>
        <w:ind w:right="110"/>
        <w:rPr>
          <w:sz w:val="22"/>
          <w:szCs w:val="22"/>
        </w:rPr>
      </w:pPr>
    </w:p>
    <w:p w:rsidR="00575FFE" w:rsidRPr="00B47D03" w:rsidRDefault="00575FFE" w:rsidP="009B169D">
      <w:pPr>
        <w:ind w:right="110"/>
        <w:rPr>
          <w:sz w:val="22"/>
          <w:szCs w:val="22"/>
        </w:rPr>
      </w:pPr>
    </w:p>
    <w:sectPr w:rsidR="00575FFE" w:rsidRPr="00B47D03" w:rsidSect="00320CD8">
      <w:pgSz w:w="11900" w:h="16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37674"/>
    <w:multiLevelType w:val="hybridMultilevel"/>
    <w:tmpl w:val="0DFE3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606897"/>
    <w:multiLevelType w:val="hybridMultilevel"/>
    <w:tmpl w:val="8B50F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05894"/>
    <w:multiLevelType w:val="hybridMultilevel"/>
    <w:tmpl w:val="79D8EA95"/>
    <w:lvl w:ilvl="0" w:tplc="4E3021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31D4230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5C64C35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555403C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8E2CCE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682ECD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8E694B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A12408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F98407F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  <w:lvl w:ilvl="0" w:tplc="4E30218A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/>
          <w:w w:val="100"/>
          <w:sz w:val="20"/>
          <w:szCs w:val="20"/>
          <w:shd w:val="clear" w:color="auto" w:fill="auto"/>
        </w:rPr>
      </w:lvl>
    </w:lvlOverride>
    <w:lvlOverride w:ilvl="1">
      <w:startOverride w:val="1"/>
      <w:lvl w:ilvl="1" w:tplc="31D42302">
        <w:start w:val="1"/>
        <w:numFmt w:val="decimal"/>
        <w:lvlText w:val=""/>
        <w:lvlJc w:val="left"/>
      </w:lvl>
    </w:lvlOverride>
    <w:lvlOverride w:ilvl="2">
      <w:startOverride w:val="1"/>
      <w:lvl w:ilvl="2" w:tplc="5C64C350">
        <w:start w:val="1"/>
        <w:numFmt w:val="decimal"/>
        <w:lvlText w:val=""/>
        <w:lvlJc w:val="left"/>
      </w:lvl>
    </w:lvlOverride>
    <w:lvlOverride w:ilvl="3">
      <w:startOverride w:val="1"/>
      <w:lvl w:ilvl="3" w:tplc="555403C6">
        <w:start w:val="1"/>
        <w:numFmt w:val="decimal"/>
        <w:lvlText w:val=""/>
        <w:lvlJc w:val="left"/>
      </w:lvl>
    </w:lvlOverride>
    <w:lvlOverride w:ilvl="4">
      <w:startOverride w:val="1"/>
      <w:lvl w:ilvl="4" w:tplc="28E2CCEA">
        <w:start w:val="1"/>
        <w:numFmt w:val="decimal"/>
        <w:lvlText w:val=""/>
        <w:lvlJc w:val="left"/>
      </w:lvl>
    </w:lvlOverride>
    <w:lvlOverride w:ilvl="5">
      <w:startOverride w:val="1"/>
      <w:lvl w:ilvl="5" w:tplc="C682ECDE">
        <w:start w:val="1"/>
        <w:numFmt w:val="decimal"/>
        <w:lvlText w:val=""/>
        <w:lvlJc w:val="left"/>
      </w:lvl>
    </w:lvlOverride>
    <w:lvlOverride w:ilvl="6">
      <w:startOverride w:val="1"/>
      <w:lvl w:ilvl="6" w:tplc="C8E694B0">
        <w:start w:val="1"/>
        <w:numFmt w:val="decimal"/>
        <w:lvlText w:val=""/>
        <w:lvlJc w:val="left"/>
      </w:lvl>
    </w:lvlOverride>
    <w:lvlOverride w:ilvl="7">
      <w:startOverride w:val="1"/>
      <w:lvl w:ilvl="7" w:tplc="8A124080">
        <w:start w:val="1"/>
        <w:numFmt w:val="decimal"/>
        <w:lvlText w:val=""/>
        <w:lvlJc w:val="left"/>
      </w:lvl>
    </w:lvlOverride>
    <w:lvlOverride w:ilvl="8">
      <w:startOverride w:val="1"/>
      <w:lvl w:ilvl="8" w:tplc="F98407F4">
        <w:start w:val="1"/>
        <w:numFmt w:val="decimal"/>
        <w:lvlText w:val=""/>
        <w:lvlJc w:val="lef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DD"/>
    <w:rsid w:val="00073C54"/>
    <w:rsid w:val="000C13DD"/>
    <w:rsid w:val="000D4233"/>
    <w:rsid w:val="00130E0A"/>
    <w:rsid w:val="00286FBB"/>
    <w:rsid w:val="00320CD8"/>
    <w:rsid w:val="0035348A"/>
    <w:rsid w:val="00372081"/>
    <w:rsid w:val="00391CD1"/>
    <w:rsid w:val="004635BF"/>
    <w:rsid w:val="00485CEC"/>
    <w:rsid w:val="005314FB"/>
    <w:rsid w:val="005565BF"/>
    <w:rsid w:val="00575FFE"/>
    <w:rsid w:val="00582B8D"/>
    <w:rsid w:val="0058714C"/>
    <w:rsid w:val="006253CB"/>
    <w:rsid w:val="007E449E"/>
    <w:rsid w:val="0083139E"/>
    <w:rsid w:val="009B169D"/>
    <w:rsid w:val="00AA684C"/>
    <w:rsid w:val="00AD23E8"/>
    <w:rsid w:val="00B47D03"/>
    <w:rsid w:val="00BA040F"/>
    <w:rsid w:val="00C7414F"/>
    <w:rsid w:val="00E3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F8859C9-6ADC-4E17-9805-49B85DD2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rsid w:val="00391CD1"/>
    <w:pPr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C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48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8195390A480DD47BAE1B14EA2CC672D" ma:contentTypeVersion="2" ma:contentTypeDescription="Country Statements" ma:contentTypeScope="" ma:versionID="84228523a7a9ad0564d9c2b0be55630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2B0D84-68E8-4E69-BD68-62629602190E}"/>
</file>

<file path=customXml/itemProps2.xml><?xml version="1.0" encoding="utf-8"?>
<ds:datastoreItem xmlns:ds="http://schemas.openxmlformats.org/officeDocument/2006/customXml" ds:itemID="{E277FD2F-63D5-4A96-BC7D-FC5489136C07}"/>
</file>

<file path=customXml/itemProps3.xml><?xml version="1.0" encoding="utf-8"?>
<ds:datastoreItem xmlns:ds="http://schemas.openxmlformats.org/officeDocument/2006/customXml" ds:itemID="{DCD56412-29F4-4A8E-9041-6B1F1E0C31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werk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</dc:title>
  <dc:subject/>
  <dc:creator>Mariam Supatashvili</dc:creator>
  <cp:keywords/>
  <dc:description/>
  <cp:lastModifiedBy>Temur Pipia</cp:lastModifiedBy>
  <cp:revision>3</cp:revision>
  <cp:lastPrinted>2017-05-01T16:14:00Z</cp:lastPrinted>
  <dcterms:created xsi:type="dcterms:W3CDTF">2017-05-01T15:54:00Z</dcterms:created>
  <dcterms:modified xsi:type="dcterms:W3CDTF">2017-05-01T16:01:00Z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0x010100CA92D31222379248846EF4F1EBFB5EDE00D8195390A480DD47BAE1B14EA2CC672D</vt:lpwstr>
  </property>
</Properties>
</file>