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F9" w:rsidRPr="00152A5B" w:rsidRDefault="004109F9" w:rsidP="004109F9">
      <w:pPr>
        <w:framePr w:w="3969" w:wrap="around" w:vAnchor="page" w:hAnchor="page" w:x="1191" w:y="511"/>
        <w:tabs>
          <w:tab w:val="left" w:pos="142"/>
        </w:tabs>
        <w:rPr>
          <w:rFonts w:ascii="Garamond" w:hAnsi="Garamond"/>
        </w:rPr>
      </w:pPr>
      <w:r w:rsidRPr="00152A5B">
        <w:rPr>
          <w:rFonts w:ascii="Garamond" w:hAnsi="Garamond"/>
          <w:noProof/>
        </w:rPr>
        <w:drawing>
          <wp:inline distT="0" distB="0" distL="0" distR="0" wp14:anchorId="2000BD64" wp14:editId="576E6265">
            <wp:extent cx="2466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tbl>
      <w:tblPr>
        <w:tblpPr w:leftFromText="141" w:rightFromText="141" w:vertAnchor="text" w:horzAnchor="page" w:tblpX="6451" w:tblpY="-1552"/>
        <w:tblW w:w="0" w:type="auto"/>
        <w:tblLayout w:type="fixed"/>
        <w:tblCellMar>
          <w:left w:w="0" w:type="dxa"/>
          <w:right w:w="0" w:type="dxa"/>
        </w:tblCellMar>
        <w:tblLook w:val="0000" w:firstRow="0" w:lastRow="0" w:firstColumn="0" w:lastColumn="0" w:noHBand="0" w:noVBand="0"/>
      </w:tblPr>
      <w:tblGrid>
        <w:gridCol w:w="3380"/>
        <w:gridCol w:w="1893"/>
      </w:tblGrid>
      <w:tr w:rsidR="004109F9" w:rsidRPr="00152A5B" w:rsidTr="00DB0E43">
        <w:tc>
          <w:tcPr>
            <w:tcW w:w="3380" w:type="dxa"/>
          </w:tcPr>
          <w:p w:rsidR="004109F9" w:rsidRPr="00152A5B" w:rsidRDefault="004109F9" w:rsidP="00DB0E43">
            <w:pPr>
              <w:pStyle w:val="Brdtexthuvud"/>
              <w:framePr w:w="0" w:hRule="auto" w:hSpace="0" w:wrap="auto" w:vAnchor="margin" w:hAnchor="text" w:xAlign="left" w:yAlign="inline"/>
              <w:rPr>
                <w:rFonts w:ascii="Garamond" w:hAnsi="Garamond"/>
              </w:rPr>
            </w:pPr>
            <w:bookmarkStart w:id="0" w:name="UDkoncept"/>
            <w:bookmarkEnd w:id="0"/>
          </w:p>
        </w:tc>
        <w:tc>
          <w:tcPr>
            <w:tcW w:w="1893" w:type="dxa"/>
          </w:tcPr>
          <w:p w:rsidR="004109F9" w:rsidRPr="00152A5B" w:rsidRDefault="004109F9" w:rsidP="00DB0E43">
            <w:pPr>
              <w:pStyle w:val="Brdtexthuvud"/>
              <w:framePr w:w="0" w:hRule="auto" w:hSpace="0" w:wrap="auto" w:vAnchor="margin" w:hAnchor="text" w:xAlign="left" w:yAlign="inline"/>
              <w:rPr>
                <w:rFonts w:ascii="Garamond" w:hAnsi="Garamond"/>
              </w:rPr>
            </w:pPr>
            <w:bookmarkStart w:id="1" w:name="UDsidan"/>
            <w:bookmarkEnd w:id="1"/>
          </w:p>
        </w:tc>
      </w:tr>
      <w:tr w:rsidR="004109F9" w:rsidRPr="00152A5B" w:rsidTr="00DB0E43">
        <w:tc>
          <w:tcPr>
            <w:tcW w:w="3380" w:type="dxa"/>
          </w:tcPr>
          <w:p w:rsidR="004109F9" w:rsidRPr="00152A5B" w:rsidRDefault="004109F9" w:rsidP="00DB0E43">
            <w:pPr>
              <w:pStyle w:val="Brdtexthuvud"/>
              <w:framePr w:w="0" w:hRule="auto" w:hSpace="0" w:wrap="auto" w:vAnchor="margin" w:hAnchor="text" w:xAlign="left" w:yAlign="inline"/>
              <w:rPr>
                <w:rFonts w:ascii="Garamond" w:hAnsi="Garamond"/>
              </w:rPr>
            </w:pPr>
            <w:bookmarkStart w:id="2" w:name="UDdokname"/>
            <w:bookmarkEnd w:id="2"/>
          </w:p>
        </w:tc>
        <w:tc>
          <w:tcPr>
            <w:tcW w:w="1893" w:type="dxa"/>
          </w:tcPr>
          <w:p w:rsidR="004109F9" w:rsidRPr="00152A5B" w:rsidRDefault="004109F9" w:rsidP="00DB0E43">
            <w:pPr>
              <w:pStyle w:val="Brdtexthuvud"/>
              <w:framePr w:w="0" w:hRule="auto" w:hSpace="0" w:wrap="auto" w:vAnchor="margin" w:hAnchor="text" w:xAlign="left" w:yAlign="inline"/>
              <w:rPr>
                <w:rFonts w:ascii="Garamond" w:hAnsi="Garamond"/>
              </w:rPr>
            </w:pPr>
            <w:bookmarkStart w:id="3" w:name="UDnr"/>
            <w:bookmarkEnd w:id="3"/>
          </w:p>
        </w:tc>
      </w:tr>
      <w:tr w:rsidR="004109F9" w:rsidRPr="001472E0" w:rsidTr="00DB0E43">
        <w:tc>
          <w:tcPr>
            <w:tcW w:w="3380" w:type="dxa"/>
          </w:tcPr>
          <w:p w:rsidR="004109F9" w:rsidRPr="00152A5B" w:rsidRDefault="004109F9" w:rsidP="00DB0E43">
            <w:pPr>
              <w:pStyle w:val="BodyText"/>
              <w:rPr>
                <w:rFonts w:ascii="Garamond" w:hAnsi="Garamond"/>
                <w:b/>
              </w:rPr>
            </w:pPr>
          </w:p>
          <w:p w:rsidR="004109F9" w:rsidRPr="00152A5B" w:rsidRDefault="004109F9" w:rsidP="00DB0E43">
            <w:pPr>
              <w:pStyle w:val="BodyText"/>
              <w:rPr>
                <w:rFonts w:ascii="Garamond" w:hAnsi="Garamond"/>
                <w:b/>
              </w:rPr>
            </w:pPr>
          </w:p>
          <w:p w:rsidR="004109F9" w:rsidRPr="00152A5B" w:rsidRDefault="004109F9" w:rsidP="00DB0E43">
            <w:pPr>
              <w:pStyle w:val="BodyText"/>
              <w:rPr>
                <w:rFonts w:ascii="Garamond" w:hAnsi="Garamond"/>
                <w:b/>
              </w:rPr>
            </w:pPr>
          </w:p>
          <w:p w:rsidR="004109F9" w:rsidRPr="00152A5B" w:rsidRDefault="004109F9" w:rsidP="00DB0E43">
            <w:pPr>
              <w:pStyle w:val="BodyText"/>
              <w:rPr>
                <w:rFonts w:ascii="Garamond" w:hAnsi="Garamond"/>
                <w:b/>
              </w:rPr>
            </w:pPr>
            <w:r w:rsidRPr="00152A5B">
              <w:rPr>
                <w:rFonts w:ascii="Garamond" w:hAnsi="Garamond"/>
                <w:b/>
              </w:rPr>
              <w:t>UN Human Rights Council</w:t>
            </w:r>
          </w:p>
          <w:p w:rsidR="004109F9" w:rsidRPr="00152A5B" w:rsidRDefault="004109F9" w:rsidP="00DB0E43">
            <w:pPr>
              <w:pStyle w:val="BodyText"/>
              <w:rPr>
                <w:rFonts w:ascii="Garamond" w:hAnsi="Garamond"/>
                <w:b/>
                <w:sz w:val="32"/>
                <w:szCs w:val="32"/>
              </w:rPr>
            </w:pPr>
          </w:p>
          <w:p w:rsidR="004109F9" w:rsidRPr="00152A5B" w:rsidRDefault="004109F9" w:rsidP="00DB0E43">
            <w:pPr>
              <w:pStyle w:val="BodyText"/>
              <w:rPr>
                <w:rFonts w:ascii="Garamond" w:hAnsi="Garamond"/>
                <w:b/>
                <w:sz w:val="32"/>
                <w:szCs w:val="32"/>
              </w:rPr>
            </w:pPr>
            <w:r w:rsidRPr="00152A5B">
              <w:rPr>
                <w:rFonts w:ascii="Garamond" w:hAnsi="Garamond"/>
                <w:b/>
                <w:sz w:val="32"/>
                <w:szCs w:val="32"/>
              </w:rPr>
              <w:t>UPR 27th session</w:t>
            </w:r>
          </w:p>
          <w:p w:rsidR="004109F9" w:rsidRPr="00152A5B" w:rsidRDefault="004109F9" w:rsidP="00DB0E43">
            <w:pPr>
              <w:pStyle w:val="Brdtexthuvud"/>
              <w:framePr w:w="0" w:hRule="auto" w:hSpace="0" w:wrap="auto" w:vAnchor="margin" w:hAnchor="text" w:xAlign="left" w:yAlign="inline"/>
              <w:rPr>
                <w:rFonts w:ascii="Garamond" w:hAnsi="Garamond"/>
              </w:rPr>
            </w:pPr>
          </w:p>
        </w:tc>
        <w:tc>
          <w:tcPr>
            <w:tcW w:w="1893" w:type="dxa"/>
          </w:tcPr>
          <w:p w:rsidR="004109F9" w:rsidRPr="00152A5B" w:rsidRDefault="004109F9" w:rsidP="00DB0E43">
            <w:pPr>
              <w:pStyle w:val="Brdtexthuvud"/>
              <w:framePr w:w="0" w:hRule="auto" w:hSpace="0" w:wrap="auto" w:vAnchor="margin" w:hAnchor="text" w:xAlign="left" w:yAlign="inline"/>
              <w:rPr>
                <w:rFonts w:ascii="Garamond" w:hAnsi="Garamond"/>
              </w:rPr>
            </w:pPr>
          </w:p>
        </w:tc>
      </w:tr>
      <w:tr w:rsidR="004109F9" w:rsidRPr="001472E0" w:rsidTr="00DB0E43">
        <w:tc>
          <w:tcPr>
            <w:tcW w:w="3380" w:type="dxa"/>
          </w:tcPr>
          <w:p w:rsidR="004109F9" w:rsidRPr="00152A5B" w:rsidRDefault="004109F9" w:rsidP="00DB0E43">
            <w:pPr>
              <w:pStyle w:val="Brdtexthuvud"/>
              <w:framePr w:w="0" w:hRule="auto" w:hSpace="0" w:wrap="auto" w:vAnchor="margin" w:hAnchor="text" w:xAlign="left" w:yAlign="inline"/>
              <w:rPr>
                <w:rFonts w:ascii="Garamond" w:hAnsi="Garamond"/>
              </w:rPr>
            </w:pPr>
          </w:p>
        </w:tc>
        <w:tc>
          <w:tcPr>
            <w:tcW w:w="1893" w:type="dxa"/>
          </w:tcPr>
          <w:p w:rsidR="004109F9" w:rsidRPr="00152A5B" w:rsidRDefault="004109F9" w:rsidP="00DB0E43">
            <w:pPr>
              <w:pStyle w:val="Brdtexthuvud"/>
              <w:framePr w:w="0" w:hRule="auto" w:hSpace="0" w:wrap="auto" w:vAnchor="margin" w:hAnchor="text" w:xAlign="left" w:yAlign="inline"/>
              <w:rPr>
                <w:rFonts w:ascii="Garamond" w:hAnsi="Garamond"/>
              </w:rPr>
            </w:pPr>
            <w:bookmarkStart w:id="4" w:name="UDdnr"/>
            <w:bookmarkEnd w:id="4"/>
          </w:p>
        </w:tc>
      </w:tr>
    </w:tbl>
    <w:p w:rsidR="004109F9" w:rsidRPr="00152A5B" w:rsidRDefault="004109F9" w:rsidP="004109F9">
      <w:pPr>
        <w:pStyle w:val="BodyText"/>
        <w:spacing w:line="120" w:lineRule="exact"/>
        <w:ind w:firstLine="2127"/>
        <w:rPr>
          <w:rFonts w:ascii="Garamond" w:hAnsi="Garamond"/>
        </w:rPr>
      </w:pPr>
    </w:p>
    <w:tbl>
      <w:tblPr>
        <w:tblW w:w="0" w:type="auto"/>
        <w:tblLayout w:type="fixed"/>
        <w:tblCellMar>
          <w:left w:w="0" w:type="dxa"/>
          <w:right w:w="0" w:type="dxa"/>
        </w:tblCellMar>
        <w:tblLook w:val="0000" w:firstRow="0" w:lastRow="0" w:firstColumn="0" w:lastColumn="0" w:noHBand="0" w:noVBand="0"/>
      </w:tblPr>
      <w:tblGrid>
        <w:gridCol w:w="4908"/>
      </w:tblGrid>
      <w:tr w:rsidR="004109F9" w:rsidRPr="001472E0" w:rsidTr="00DB0E43">
        <w:tc>
          <w:tcPr>
            <w:tcW w:w="4908" w:type="dxa"/>
          </w:tcPr>
          <w:p w:rsidR="004109F9" w:rsidRPr="00152A5B" w:rsidRDefault="004109F9" w:rsidP="00DB0E43">
            <w:pPr>
              <w:pStyle w:val="BodyText"/>
              <w:framePr w:wrap="notBeside" w:vAnchor="page" w:hAnchor="page" w:x="1441" w:y="2382"/>
              <w:rPr>
                <w:rFonts w:ascii="Garamond" w:hAnsi="Garamond"/>
              </w:rPr>
            </w:pPr>
            <w:bookmarkStart w:id="5" w:name="UDmottagare"/>
            <w:bookmarkStart w:id="6" w:name="UDdepartement"/>
            <w:bookmarkEnd w:id="5"/>
            <w:bookmarkEnd w:id="6"/>
          </w:p>
        </w:tc>
      </w:tr>
    </w:tbl>
    <w:p w:rsidR="004109F9" w:rsidRPr="00152A5B" w:rsidRDefault="004109F9" w:rsidP="004109F9">
      <w:pPr>
        <w:rPr>
          <w:rFonts w:ascii="Garamond" w:hAnsi="Garamond"/>
          <w:b/>
          <w:sz w:val="28"/>
          <w:szCs w:val="28"/>
          <w:lang w:val="en-GB"/>
        </w:rPr>
      </w:pPr>
      <w:bookmarkStart w:id="7" w:name="UDfaxmottagare"/>
      <w:bookmarkStart w:id="8" w:name="UDrubrik"/>
      <w:bookmarkStart w:id="9" w:name="UDtext"/>
      <w:bookmarkStart w:id="10" w:name="UDArendemening"/>
      <w:bookmarkEnd w:id="7"/>
      <w:bookmarkEnd w:id="8"/>
      <w:bookmarkEnd w:id="9"/>
      <w:bookmarkEnd w:id="10"/>
    </w:p>
    <w:p w:rsidR="004109F9" w:rsidRPr="00152A5B" w:rsidRDefault="004109F9" w:rsidP="004109F9">
      <w:pPr>
        <w:ind w:left="900"/>
        <w:rPr>
          <w:rFonts w:ascii="Garamond" w:hAnsi="Garamond"/>
          <w:b/>
          <w:sz w:val="28"/>
          <w:szCs w:val="28"/>
          <w:lang w:val="en-GB"/>
        </w:rPr>
      </w:pPr>
    </w:p>
    <w:p w:rsidR="004109F9" w:rsidRPr="00152A5B" w:rsidRDefault="004109F9" w:rsidP="004109F9">
      <w:pPr>
        <w:tabs>
          <w:tab w:val="left" w:pos="8364"/>
        </w:tabs>
        <w:rPr>
          <w:rFonts w:ascii="Garamond" w:hAnsi="Garamond"/>
          <w:b/>
          <w:sz w:val="28"/>
          <w:szCs w:val="28"/>
          <w:lang w:val="en-GB"/>
        </w:rPr>
      </w:pPr>
    </w:p>
    <w:p w:rsidR="004109F9" w:rsidRPr="00152A5B" w:rsidRDefault="004109F9" w:rsidP="004109F9">
      <w:pPr>
        <w:tabs>
          <w:tab w:val="left" w:pos="8364"/>
        </w:tabs>
        <w:ind w:left="900"/>
        <w:rPr>
          <w:rFonts w:ascii="Garamond" w:hAnsi="Garamond"/>
          <w:b/>
          <w:sz w:val="28"/>
          <w:szCs w:val="28"/>
          <w:lang w:val="en-GB"/>
        </w:rPr>
      </w:pPr>
    </w:p>
    <w:p w:rsidR="004109F9" w:rsidRPr="00152A5B" w:rsidRDefault="004109F9" w:rsidP="004109F9">
      <w:pPr>
        <w:tabs>
          <w:tab w:val="left" w:pos="8364"/>
        </w:tabs>
        <w:rPr>
          <w:rFonts w:ascii="Garamond" w:hAnsi="Garamond"/>
          <w:b/>
          <w:sz w:val="28"/>
          <w:szCs w:val="28"/>
          <w:lang w:val="en-GB"/>
        </w:rPr>
      </w:pPr>
      <w:r w:rsidRPr="00152A5B">
        <w:rPr>
          <w:rFonts w:ascii="Garamond" w:hAnsi="Garamond"/>
          <w:b/>
          <w:sz w:val="28"/>
          <w:szCs w:val="28"/>
          <w:lang w:val="en-GB"/>
        </w:rPr>
        <w:t xml:space="preserve">Statement by Sweden in the interactive dialogue on </w:t>
      </w:r>
      <w:r w:rsidRPr="00152A5B">
        <w:rPr>
          <w:rFonts w:ascii="Garamond" w:hAnsi="Garamond"/>
          <w:b/>
          <w:sz w:val="28"/>
          <w:szCs w:val="28"/>
          <w:u w:val="single"/>
          <w:lang w:val="en-GB"/>
        </w:rPr>
        <w:t>Tunisia</w:t>
      </w:r>
    </w:p>
    <w:p w:rsidR="004109F9" w:rsidRPr="00390CD1" w:rsidRDefault="004109F9" w:rsidP="004109F9">
      <w:pPr>
        <w:rPr>
          <w:rFonts w:ascii="Garamond" w:hAnsi="Garamond"/>
          <w:lang w:val="en-US"/>
        </w:rPr>
      </w:pPr>
    </w:p>
    <w:p w:rsidR="005B0FF2" w:rsidRPr="00152A5B" w:rsidRDefault="005B0FF2" w:rsidP="005B0FF2">
      <w:pPr>
        <w:rPr>
          <w:rFonts w:ascii="Garamond" w:hAnsi="Garamond"/>
          <w:i/>
          <w:lang w:val="en-GB"/>
        </w:rPr>
      </w:pPr>
      <w:r w:rsidRPr="00152A5B">
        <w:rPr>
          <w:rFonts w:ascii="Garamond" w:hAnsi="Garamond"/>
          <w:i/>
          <w:lang w:val="en-GB"/>
        </w:rPr>
        <w:t xml:space="preserve">Delivered </w:t>
      </w:r>
      <w:r w:rsidR="00390CD1">
        <w:rPr>
          <w:rFonts w:ascii="Garamond" w:hAnsi="Garamond"/>
          <w:i/>
          <w:lang w:val="en-GB"/>
        </w:rPr>
        <w:t>by Minister-Counsellor Josefin Simonsson Brodén</w:t>
      </w:r>
    </w:p>
    <w:p w:rsidR="005B0FF2" w:rsidRPr="00152A5B" w:rsidRDefault="005B0FF2" w:rsidP="005B0FF2">
      <w:pPr>
        <w:rPr>
          <w:rFonts w:ascii="Garamond" w:hAnsi="Garamond"/>
          <w:i/>
          <w:lang w:val="en-GB"/>
        </w:rPr>
      </w:pPr>
      <w:r w:rsidRPr="00152A5B">
        <w:rPr>
          <w:rFonts w:ascii="Garamond" w:hAnsi="Garamond"/>
          <w:i/>
          <w:lang w:val="en-GB"/>
        </w:rPr>
        <w:t>Genev</w:t>
      </w:r>
      <w:r w:rsidR="00390CD1">
        <w:rPr>
          <w:rFonts w:ascii="Garamond" w:hAnsi="Garamond"/>
          <w:i/>
          <w:lang w:val="en-GB"/>
        </w:rPr>
        <w:t>a, May 2, 2017 (speaking time 1 min 10</w:t>
      </w:r>
      <w:r w:rsidRPr="00152A5B">
        <w:rPr>
          <w:rFonts w:ascii="Garamond" w:hAnsi="Garamond"/>
          <w:i/>
          <w:lang w:val="en-GB"/>
        </w:rPr>
        <w:t xml:space="preserve"> sec)</w:t>
      </w:r>
    </w:p>
    <w:p w:rsidR="008E6D4C" w:rsidRPr="00390CD1" w:rsidRDefault="001472E0">
      <w:pPr>
        <w:rPr>
          <w:rFonts w:ascii="Garamond" w:hAnsi="Garamond"/>
          <w:lang w:val="en-US"/>
        </w:rPr>
      </w:pPr>
    </w:p>
    <w:p w:rsidR="00CE394C" w:rsidRDefault="00CE394C" w:rsidP="00CE394C">
      <w:pPr>
        <w:pStyle w:val="Brdtext1"/>
        <w:rPr>
          <w:rFonts w:ascii="Garamond" w:hAnsi="Garamond"/>
          <w:lang w:val="en-GB"/>
        </w:rPr>
      </w:pPr>
      <w:r>
        <w:rPr>
          <w:rFonts w:ascii="Garamond" w:hAnsi="Garamond"/>
          <w:lang w:val="en-GB"/>
        </w:rPr>
        <w:t>Mr President,</w:t>
      </w:r>
    </w:p>
    <w:p w:rsidR="00CE394C" w:rsidRDefault="00CE394C" w:rsidP="00CE394C">
      <w:pPr>
        <w:pStyle w:val="Brdtext1"/>
        <w:rPr>
          <w:rFonts w:ascii="Garamond" w:hAnsi="Garamond"/>
          <w:lang w:val="en-GB"/>
        </w:rPr>
      </w:pPr>
    </w:p>
    <w:p w:rsidR="001472E0" w:rsidRDefault="00CE394C" w:rsidP="00CE394C">
      <w:pPr>
        <w:pStyle w:val="Brdtext1"/>
        <w:rPr>
          <w:rFonts w:ascii="Garamond" w:hAnsi="Garamond"/>
          <w:szCs w:val="24"/>
          <w:lang w:val="en-GB"/>
        </w:rPr>
      </w:pPr>
      <w:r>
        <w:rPr>
          <w:rFonts w:ascii="Garamond" w:hAnsi="Garamond"/>
          <w:lang w:val="en-GB"/>
        </w:rPr>
        <w:t>Sweden wishes to welcome the distinguished delegation and express our thanks for its presentation</w:t>
      </w:r>
      <w:r>
        <w:rPr>
          <w:rFonts w:ascii="Garamond" w:hAnsi="Garamond"/>
          <w:szCs w:val="24"/>
          <w:lang w:val="en-GB"/>
        </w:rPr>
        <w:t>.</w:t>
      </w:r>
      <w:r w:rsidR="000B292F">
        <w:rPr>
          <w:rFonts w:ascii="Garamond" w:hAnsi="Garamond"/>
          <w:szCs w:val="24"/>
          <w:lang w:val="en-GB"/>
        </w:rPr>
        <w:t xml:space="preserve"> </w:t>
      </w:r>
    </w:p>
    <w:p w:rsidR="001472E0" w:rsidRDefault="001472E0" w:rsidP="00CE394C">
      <w:pPr>
        <w:pStyle w:val="Brdtext1"/>
        <w:rPr>
          <w:rFonts w:ascii="Garamond" w:hAnsi="Garamond"/>
          <w:szCs w:val="24"/>
          <w:lang w:val="en-GB"/>
        </w:rPr>
      </w:pPr>
    </w:p>
    <w:p w:rsidR="00390CD1" w:rsidRDefault="00390CD1" w:rsidP="00CE394C">
      <w:pPr>
        <w:pStyle w:val="Brdtext1"/>
        <w:rPr>
          <w:rFonts w:ascii="Garamond" w:hAnsi="Garamond"/>
          <w:szCs w:val="24"/>
          <w:lang w:val="en-GB"/>
        </w:rPr>
      </w:pPr>
      <w:r>
        <w:rPr>
          <w:rFonts w:ascii="Garamond" w:hAnsi="Garamond"/>
          <w:szCs w:val="24"/>
          <w:lang w:val="en-GB"/>
        </w:rPr>
        <w:t>Sweden would like to give the following recommendations to the Government of Tunisia:</w:t>
      </w:r>
    </w:p>
    <w:p w:rsidR="00CE394C" w:rsidRDefault="00CE394C" w:rsidP="00CE394C">
      <w:pPr>
        <w:pStyle w:val="Brdtext1"/>
        <w:rPr>
          <w:rFonts w:ascii="Garamond" w:hAnsi="Garamond"/>
          <w:szCs w:val="24"/>
          <w:lang w:val="en-GB"/>
        </w:rPr>
      </w:pPr>
    </w:p>
    <w:p w:rsidR="00390CD1" w:rsidRDefault="00390CD1" w:rsidP="00390CD1">
      <w:pPr>
        <w:pStyle w:val="ListParagraph"/>
        <w:numPr>
          <w:ilvl w:val="0"/>
          <w:numId w:val="3"/>
        </w:numPr>
        <w:rPr>
          <w:rFonts w:ascii="Garamond" w:hAnsi="Garamond"/>
          <w:lang w:val="en-US"/>
        </w:rPr>
      </w:pPr>
      <w:r>
        <w:rPr>
          <w:rFonts w:ascii="Garamond" w:hAnsi="Garamond"/>
          <w:lang w:val="en-GB"/>
        </w:rPr>
        <w:t xml:space="preserve">to </w:t>
      </w:r>
      <w:r w:rsidRPr="00390CD1">
        <w:rPr>
          <w:rFonts w:ascii="Garamond" w:hAnsi="Garamond"/>
          <w:lang w:val="en-US"/>
        </w:rPr>
        <w:t>adopt a comprehensive law on violence against women and girls that addresses the importance of consent and provides adequate protection for victims and appropr</w:t>
      </w:r>
      <w:r>
        <w:rPr>
          <w:rFonts w:ascii="Garamond" w:hAnsi="Garamond"/>
          <w:lang w:val="en-US"/>
        </w:rPr>
        <w:t>iate penalties for perpetrators,</w:t>
      </w:r>
    </w:p>
    <w:p w:rsidR="00390CD1" w:rsidRPr="00390CD1" w:rsidRDefault="00390CD1" w:rsidP="00390CD1">
      <w:pPr>
        <w:pStyle w:val="ListParagraph"/>
        <w:numPr>
          <w:ilvl w:val="0"/>
          <w:numId w:val="3"/>
        </w:numPr>
        <w:rPr>
          <w:rFonts w:ascii="Garamond" w:hAnsi="Garamond"/>
          <w:lang w:val="en-US"/>
        </w:rPr>
      </w:pPr>
      <w:r>
        <w:rPr>
          <w:rFonts w:ascii="Garamond" w:hAnsi="Garamond"/>
          <w:szCs w:val="24"/>
          <w:lang w:val="en-US"/>
        </w:rPr>
        <w:t xml:space="preserve">to amend or repeal </w:t>
      </w:r>
      <w:r w:rsidRPr="00390CD1">
        <w:rPr>
          <w:rFonts w:ascii="Garamond" w:hAnsi="Garamond"/>
          <w:szCs w:val="24"/>
          <w:lang w:val="en-US"/>
        </w:rPr>
        <w:t>A</w:t>
      </w:r>
      <w:r>
        <w:rPr>
          <w:rFonts w:ascii="Garamond" w:hAnsi="Garamond"/>
          <w:szCs w:val="24"/>
          <w:lang w:val="en-US"/>
        </w:rPr>
        <w:t xml:space="preserve">rticle 227 and 239 of the Penal Code </w:t>
      </w:r>
      <w:r w:rsidRPr="00390CD1">
        <w:rPr>
          <w:rFonts w:ascii="Garamond" w:hAnsi="Garamond"/>
          <w:szCs w:val="24"/>
          <w:lang w:val="en-US"/>
        </w:rPr>
        <w:t>to explicitly criminalize marital rape and redefine rape in li</w:t>
      </w:r>
      <w:r>
        <w:rPr>
          <w:rFonts w:ascii="Garamond" w:hAnsi="Garamond"/>
          <w:szCs w:val="24"/>
          <w:lang w:val="en-US"/>
        </w:rPr>
        <w:t>ne with international standards,</w:t>
      </w:r>
    </w:p>
    <w:p w:rsidR="00390CD1" w:rsidRPr="00390CD1" w:rsidRDefault="00390CD1" w:rsidP="00390CD1">
      <w:pPr>
        <w:pStyle w:val="ListParagraph"/>
        <w:numPr>
          <w:ilvl w:val="0"/>
          <w:numId w:val="3"/>
        </w:numPr>
        <w:rPr>
          <w:rFonts w:ascii="Garamond" w:hAnsi="Garamond"/>
          <w:lang w:val="en-US"/>
        </w:rPr>
      </w:pPr>
      <w:r>
        <w:rPr>
          <w:rFonts w:ascii="Garamond" w:hAnsi="Garamond"/>
          <w:szCs w:val="24"/>
          <w:lang w:val="en-US"/>
        </w:rPr>
        <w:t>to</w:t>
      </w:r>
      <w:r w:rsidRPr="00390CD1">
        <w:rPr>
          <w:rFonts w:ascii="Garamond" w:hAnsi="Garamond"/>
          <w:szCs w:val="24"/>
          <w:lang w:val="en-US"/>
        </w:rPr>
        <w:t>, without further delay, take steps to adopt the laws called for in its Constitution to safeguard the unique status of independent agencies (</w:t>
      </w:r>
      <w:r w:rsidRPr="00390CD1">
        <w:rPr>
          <w:rFonts w:ascii="Garamond" w:hAnsi="Garamond"/>
          <w:i/>
          <w:szCs w:val="24"/>
          <w:lang w:val="en-US"/>
        </w:rPr>
        <w:t xml:space="preserve">instances </w:t>
      </w:r>
      <w:proofErr w:type="spellStart"/>
      <w:r w:rsidRPr="00390CD1">
        <w:rPr>
          <w:rFonts w:ascii="Garamond" w:hAnsi="Garamond"/>
          <w:i/>
          <w:szCs w:val="24"/>
          <w:lang w:val="en-US"/>
        </w:rPr>
        <w:t>indépendantes</w:t>
      </w:r>
      <w:proofErr w:type="spellEnd"/>
      <w:r>
        <w:rPr>
          <w:rFonts w:ascii="Garamond" w:hAnsi="Garamond"/>
          <w:szCs w:val="24"/>
          <w:lang w:val="en-US"/>
        </w:rPr>
        <w:t>) in Tunisia,</w:t>
      </w:r>
      <w:r w:rsidRPr="00390CD1">
        <w:rPr>
          <w:rFonts w:ascii="Garamond" w:hAnsi="Garamond"/>
          <w:szCs w:val="24"/>
          <w:lang w:val="en-US"/>
        </w:rPr>
        <w:t xml:space="preserve"> </w:t>
      </w:r>
    </w:p>
    <w:p w:rsidR="00390CD1" w:rsidRPr="00390CD1" w:rsidRDefault="00390CD1" w:rsidP="00390CD1">
      <w:pPr>
        <w:pStyle w:val="ListParagraph"/>
        <w:numPr>
          <w:ilvl w:val="0"/>
          <w:numId w:val="3"/>
        </w:numPr>
        <w:rPr>
          <w:rFonts w:ascii="Garamond" w:hAnsi="Garamond"/>
          <w:lang w:val="en-US"/>
        </w:rPr>
      </w:pPr>
      <w:r w:rsidRPr="00390CD1">
        <w:rPr>
          <w:rFonts w:ascii="Garamond" w:hAnsi="Garamond"/>
          <w:szCs w:val="24"/>
          <w:lang w:val="en-US"/>
        </w:rPr>
        <w:t>to amend or repeal Article 230 of the Pen</w:t>
      </w:r>
      <w:bookmarkStart w:id="11" w:name="_GoBack"/>
      <w:bookmarkEnd w:id="11"/>
      <w:r w:rsidRPr="00390CD1">
        <w:rPr>
          <w:rFonts w:ascii="Garamond" w:hAnsi="Garamond"/>
          <w:szCs w:val="24"/>
          <w:lang w:val="en-US"/>
        </w:rPr>
        <w:t>al Code to end criminalization of same-sex sexual relations.</w:t>
      </w:r>
    </w:p>
    <w:p w:rsidR="00CE394C" w:rsidRPr="00390CD1" w:rsidRDefault="00CE394C">
      <w:pPr>
        <w:rPr>
          <w:rFonts w:ascii="Garamond" w:hAnsi="Garamond"/>
          <w:lang w:val="en-US"/>
        </w:rPr>
      </w:pPr>
    </w:p>
    <w:p w:rsidR="005B0FF2" w:rsidRPr="00152A5B" w:rsidRDefault="005B0FF2" w:rsidP="005B0FF2">
      <w:pPr>
        <w:rPr>
          <w:rFonts w:ascii="Garamond" w:hAnsi="Garamond"/>
          <w:lang w:val="en-US"/>
        </w:rPr>
      </w:pPr>
      <w:r w:rsidRPr="00152A5B">
        <w:rPr>
          <w:rFonts w:ascii="Garamond" w:hAnsi="Garamond"/>
          <w:lang w:val="en-US"/>
        </w:rPr>
        <w:t xml:space="preserve">Tunisia has, since the 2011 revolution, marked strides in the field of gender equality. Nevertheless, reports of sexual harassment and sexual violence, including by state agents, persist. Current legislation does not provide adequate protection against sexual and gender-based violence. The Penal Code provides an </w:t>
      </w:r>
      <w:r w:rsidR="001472E0">
        <w:rPr>
          <w:rFonts w:ascii="Garamond" w:hAnsi="Garamond"/>
          <w:lang w:val="en-US"/>
        </w:rPr>
        <w:t>inadequate definition of rape, m</w:t>
      </w:r>
      <w:r w:rsidRPr="00152A5B">
        <w:rPr>
          <w:rFonts w:ascii="Garamond" w:hAnsi="Garamond"/>
          <w:lang w:val="en-US"/>
        </w:rPr>
        <w:t xml:space="preserve">arital rape is not explicitly recognized as a </w:t>
      </w:r>
      <w:r w:rsidR="001472E0">
        <w:rPr>
          <w:rFonts w:ascii="Garamond" w:hAnsi="Garamond"/>
          <w:lang w:val="en-US"/>
        </w:rPr>
        <w:t>crime by national legislation and e</w:t>
      </w:r>
      <w:r w:rsidRPr="00152A5B">
        <w:rPr>
          <w:rFonts w:ascii="Garamond" w:hAnsi="Garamond"/>
          <w:lang w:val="en-US"/>
        </w:rPr>
        <w:t xml:space="preserve">ffective investigation and prosecution of gender-based violence occur rarely. </w:t>
      </w:r>
    </w:p>
    <w:p w:rsidR="005B0FF2" w:rsidRPr="00152A5B" w:rsidRDefault="005B0FF2" w:rsidP="005B0FF2">
      <w:pPr>
        <w:rPr>
          <w:rFonts w:ascii="Garamond" w:hAnsi="Garamond"/>
          <w:lang w:val="en-US"/>
        </w:rPr>
      </w:pPr>
    </w:p>
    <w:p w:rsidR="005B0FF2" w:rsidRPr="00152A5B" w:rsidRDefault="005B0FF2" w:rsidP="005B0FF2">
      <w:pPr>
        <w:rPr>
          <w:rFonts w:ascii="Garamond" w:hAnsi="Garamond"/>
          <w:lang w:val="en-US"/>
        </w:rPr>
      </w:pPr>
      <w:r w:rsidRPr="00152A5B">
        <w:rPr>
          <w:rFonts w:ascii="Garamond" w:hAnsi="Garamond"/>
          <w:lang w:val="en-US"/>
        </w:rPr>
        <w:t>The Consti</w:t>
      </w:r>
      <w:r w:rsidR="001472E0">
        <w:rPr>
          <w:rFonts w:ascii="Garamond" w:hAnsi="Garamond"/>
          <w:lang w:val="en-US"/>
        </w:rPr>
        <w:t>tution of Tunisia guarantees key</w:t>
      </w:r>
      <w:r w:rsidR="00C55A73">
        <w:rPr>
          <w:rFonts w:ascii="Garamond" w:hAnsi="Garamond"/>
          <w:lang w:val="en-US"/>
        </w:rPr>
        <w:t xml:space="preserve"> </w:t>
      </w:r>
      <w:r w:rsidRPr="00152A5B">
        <w:rPr>
          <w:rFonts w:ascii="Garamond" w:hAnsi="Garamond"/>
          <w:lang w:val="en-US"/>
        </w:rPr>
        <w:t>human rights and stipulates the permanent establishment of independent insti</w:t>
      </w:r>
      <w:r w:rsidR="001472E0">
        <w:rPr>
          <w:rFonts w:ascii="Garamond" w:hAnsi="Garamond"/>
          <w:lang w:val="en-US"/>
        </w:rPr>
        <w:t>tutions to ensure rule of law. However, m</w:t>
      </w:r>
      <w:r w:rsidRPr="00152A5B">
        <w:rPr>
          <w:rFonts w:ascii="Garamond" w:hAnsi="Garamond"/>
          <w:lang w:val="en-US"/>
        </w:rPr>
        <w:t xml:space="preserve">any of these institutions, including the Tunisian Anti-Corruption Agency (INLUCC), remain operational on the basis of a provisional law only. </w:t>
      </w:r>
    </w:p>
    <w:p w:rsidR="005B0FF2" w:rsidRPr="00152A5B" w:rsidRDefault="005B0FF2" w:rsidP="005B0FF2">
      <w:pPr>
        <w:rPr>
          <w:rFonts w:ascii="Garamond" w:hAnsi="Garamond"/>
          <w:lang w:val="en-US"/>
        </w:rPr>
      </w:pPr>
    </w:p>
    <w:p w:rsidR="001472E0" w:rsidRPr="00152A5B" w:rsidRDefault="005B0FF2" w:rsidP="005B0FF2">
      <w:pPr>
        <w:rPr>
          <w:rFonts w:ascii="Garamond" w:hAnsi="Garamond"/>
          <w:lang w:val="en-US"/>
        </w:rPr>
      </w:pPr>
      <w:r w:rsidRPr="00152A5B">
        <w:rPr>
          <w:rFonts w:ascii="Garamond" w:hAnsi="Garamond"/>
          <w:lang w:val="en-US"/>
        </w:rPr>
        <w:t>Despite t</w:t>
      </w:r>
      <w:r w:rsidR="000B292F">
        <w:rPr>
          <w:rFonts w:ascii="Garamond" w:hAnsi="Garamond"/>
          <w:lang w:val="en-US"/>
        </w:rPr>
        <w:t>he significant steps and</w:t>
      </w:r>
      <w:r w:rsidRPr="00152A5B">
        <w:rPr>
          <w:rFonts w:ascii="Garamond" w:hAnsi="Garamond"/>
          <w:lang w:val="en-US"/>
        </w:rPr>
        <w:t xml:space="preserve"> positive legal changes that have taken place in Tunisia, human rights violations continue again</w:t>
      </w:r>
      <w:r w:rsidR="000B292F">
        <w:rPr>
          <w:rFonts w:ascii="Garamond" w:hAnsi="Garamond"/>
          <w:lang w:val="en-US"/>
        </w:rPr>
        <w:t>st the LGBT community</w:t>
      </w:r>
      <w:r w:rsidRPr="00152A5B">
        <w:rPr>
          <w:rFonts w:ascii="Garamond" w:hAnsi="Garamond"/>
          <w:lang w:val="en-US"/>
        </w:rPr>
        <w:t xml:space="preserve">, including legal discrimination. Article </w:t>
      </w:r>
      <w:r w:rsidR="000B292F">
        <w:rPr>
          <w:rFonts w:ascii="Garamond" w:hAnsi="Garamond"/>
          <w:lang w:val="en-US"/>
        </w:rPr>
        <w:t>230 of the Penal Code criminaliz</w:t>
      </w:r>
      <w:r w:rsidRPr="00152A5B">
        <w:rPr>
          <w:rFonts w:ascii="Garamond" w:hAnsi="Garamond"/>
          <w:lang w:val="en-US"/>
        </w:rPr>
        <w:t>es same-sex sexual relations as punishable by up to three years in prison. LGBT persons are at risk of violence an</w:t>
      </w:r>
      <w:r w:rsidR="000B292F">
        <w:rPr>
          <w:rFonts w:ascii="Garamond" w:hAnsi="Garamond"/>
          <w:lang w:val="en-US"/>
        </w:rPr>
        <w:t>d other abuses by the police</w:t>
      </w:r>
      <w:r w:rsidRPr="00152A5B">
        <w:rPr>
          <w:rFonts w:ascii="Garamond" w:hAnsi="Garamond"/>
          <w:lang w:val="en-US"/>
        </w:rPr>
        <w:t xml:space="preserve">. </w:t>
      </w:r>
    </w:p>
    <w:p w:rsidR="005B0FF2" w:rsidRDefault="005B0FF2" w:rsidP="005B0FF2">
      <w:pPr>
        <w:rPr>
          <w:rFonts w:ascii="Garamond" w:hAnsi="Garamond"/>
          <w:lang w:val="en-US"/>
        </w:rPr>
      </w:pPr>
    </w:p>
    <w:p w:rsidR="00390CD1" w:rsidRPr="00152A5B" w:rsidRDefault="00390CD1" w:rsidP="005B0FF2">
      <w:pPr>
        <w:rPr>
          <w:rFonts w:ascii="Garamond" w:hAnsi="Garamond"/>
          <w:lang w:val="en-US"/>
        </w:rPr>
      </w:pPr>
      <w:r>
        <w:rPr>
          <w:rFonts w:ascii="Garamond" w:hAnsi="Garamond"/>
          <w:lang w:val="en-US"/>
        </w:rPr>
        <w:t xml:space="preserve">I thank you, </w:t>
      </w:r>
      <w:proofErr w:type="spellStart"/>
      <w:r>
        <w:rPr>
          <w:rFonts w:ascii="Garamond" w:hAnsi="Garamond"/>
          <w:lang w:val="en-US"/>
        </w:rPr>
        <w:t>Mr</w:t>
      </w:r>
      <w:proofErr w:type="spellEnd"/>
      <w:r>
        <w:rPr>
          <w:rFonts w:ascii="Garamond" w:hAnsi="Garamond"/>
          <w:lang w:val="en-US"/>
        </w:rPr>
        <w:t xml:space="preserve"> President.</w:t>
      </w:r>
    </w:p>
    <w:sectPr w:rsidR="00390CD1" w:rsidRPr="00152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47A37"/>
    <w:multiLevelType w:val="hybridMultilevel"/>
    <w:tmpl w:val="13AABBC8"/>
    <w:lvl w:ilvl="0" w:tplc="E63E921E">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7EC5428"/>
    <w:multiLevelType w:val="hybridMultilevel"/>
    <w:tmpl w:val="655C162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BC7615C"/>
    <w:multiLevelType w:val="hybridMultilevel"/>
    <w:tmpl w:val="FA96EE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F9"/>
    <w:rsid w:val="000B292F"/>
    <w:rsid w:val="001472E0"/>
    <w:rsid w:val="00152A5B"/>
    <w:rsid w:val="002C783B"/>
    <w:rsid w:val="00362802"/>
    <w:rsid w:val="00390CD1"/>
    <w:rsid w:val="004109F9"/>
    <w:rsid w:val="005B0FF2"/>
    <w:rsid w:val="00BE35B0"/>
    <w:rsid w:val="00C55A73"/>
    <w:rsid w:val="00CE3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F9"/>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09F9"/>
    <w:pPr>
      <w:spacing w:line="320" w:lineRule="exact"/>
    </w:pPr>
    <w:rPr>
      <w:lang w:val="en-GB" w:eastAsia="zh-CN"/>
    </w:rPr>
  </w:style>
  <w:style w:type="character" w:customStyle="1" w:styleId="BodyTextChar">
    <w:name w:val="Body Text Char"/>
    <w:basedOn w:val="DefaultParagraphFont"/>
    <w:link w:val="BodyText"/>
    <w:rsid w:val="004109F9"/>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4109F9"/>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4109F9"/>
    <w:rPr>
      <w:rFonts w:ascii="Tahoma" w:hAnsi="Tahoma" w:cs="Tahoma"/>
      <w:sz w:val="16"/>
      <w:szCs w:val="16"/>
    </w:rPr>
  </w:style>
  <w:style w:type="character" w:customStyle="1" w:styleId="BalloonTextChar">
    <w:name w:val="Balloon Text Char"/>
    <w:basedOn w:val="DefaultParagraphFont"/>
    <w:link w:val="BalloonText"/>
    <w:uiPriority w:val="99"/>
    <w:semiHidden/>
    <w:rsid w:val="004109F9"/>
    <w:rPr>
      <w:rFonts w:ascii="Tahoma" w:eastAsia="Times New Roman" w:hAnsi="Tahoma" w:cs="Tahoma"/>
      <w:sz w:val="16"/>
      <w:szCs w:val="16"/>
      <w:lang w:eastAsia="sv-SE"/>
    </w:rPr>
  </w:style>
  <w:style w:type="paragraph" w:styleId="ListParagraph">
    <w:name w:val="List Paragraph"/>
    <w:aliases w:val="Recommendation,List Paragraph1,List Paragraph11"/>
    <w:basedOn w:val="Normal"/>
    <w:link w:val="ListParagraphChar"/>
    <w:uiPriority w:val="34"/>
    <w:qFormat/>
    <w:rsid w:val="005B0FF2"/>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5B0FF2"/>
    <w:rPr>
      <w:rFonts w:ascii="OrigGarmnd BT" w:eastAsia="Times New Roman" w:hAnsi="OrigGarmnd BT" w:cs="Times New Roman"/>
      <w:sz w:val="24"/>
      <w:szCs w:val="20"/>
    </w:rPr>
  </w:style>
  <w:style w:type="paragraph" w:customStyle="1" w:styleId="Brdtext1">
    <w:name w:val="Brödtext1"/>
    <w:basedOn w:val="Normal"/>
    <w:rsid w:val="00CE394C"/>
    <w:pPr>
      <w:spacing w:line="320" w:lineRule="exact"/>
    </w:pPr>
    <w:rPr>
      <w:rFonts w:ascii="OrigGarmnd BT" w:hAnsi="OrigGarmnd BT"/>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F9"/>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09F9"/>
    <w:pPr>
      <w:spacing w:line="320" w:lineRule="exact"/>
    </w:pPr>
    <w:rPr>
      <w:lang w:val="en-GB" w:eastAsia="zh-CN"/>
    </w:rPr>
  </w:style>
  <w:style w:type="character" w:customStyle="1" w:styleId="BodyTextChar">
    <w:name w:val="Body Text Char"/>
    <w:basedOn w:val="DefaultParagraphFont"/>
    <w:link w:val="BodyText"/>
    <w:rsid w:val="004109F9"/>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4109F9"/>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4109F9"/>
    <w:rPr>
      <w:rFonts w:ascii="Tahoma" w:hAnsi="Tahoma" w:cs="Tahoma"/>
      <w:sz w:val="16"/>
      <w:szCs w:val="16"/>
    </w:rPr>
  </w:style>
  <w:style w:type="character" w:customStyle="1" w:styleId="BalloonTextChar">
    <w:name w:val="Balloon Text Char"/>
    <w:basedOn w:val="DefaultParagraphFont"/>
    <w:link w:val="BalloonText"/>
    <w:uiPriority w:val="99"/>
    <w:semiHidden/>
    <w:rsid w:val="004109F9"/>
    <w:rPr>
      <w:rFonts w:ascii="Tahoma" w:eastAsia="Times New Roman" w:hAnsi="Tahoma" w:cs="Tahoma"/>
      <w:sz w:val="16"/>
      <w:szCs w:val="16"/>
      <w:lang w:eastAsia="sv-SE"/>
    </w:rPr>
  </w:style>
  <w:style w:type="paragraph" w:styleId="ListParagraph">
    <w:name w:val="List Paragraph"/>
    <w:aliases w:val="Recommendation,List Paragraph1,List Paragraph11"/>
    <w:basedOn w:val="Normal"/>
    <w:link w:val="ListParagraphChar"/>
    <w:uiPriority w:val="34"/>
    <w:qFormat/>
    <w:rsid w:val="005B0FF2"/>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5B0FF2"/>
    <w:rPr>
      <w:rFonts w:ascii="OrigGarmnd BT" w:eastAsia="Times New Roman" w:hAnsi="OrigGarmnd BT" w:cs="Times New Roman"/>
      <w:sz w:val="24"/>
      <w:szCs w:val="20"/>
    </w:rPr>
  </w:style>
  <w:style w:type="paragraph" w:customStyle="1" w:styleId="Brdtext1">
    <w:name w:val="Brödtext1"/>
    <w:basedOn w:val="Normal"/>
    <w:rsid w:val="00CE394C"/>
    <w:pPr>
      <w:spacing w:line="320" w:lineRule="exact"/>
    </w:pPr>
    <w:rPr>
      <w:rFonts w:ascii="OrigGarmnd BT" w:hAnsi="OrigGarmnd BT"/>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8195390A480DD47BAE1B14EA2CC672D" ma:contentTypeVersion="2" ma:contentTypeDescription="Country Statements" ma:contentTypeScope="" ma:versionID="84228523a7a9ad0564d9c2b0be55630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Order1>
  </documentManagement>
</p:properties>
</file>

<file path=customXml/itemProps1.xml><?xml version="1.0" encoding="utf-8"?>
<ds:datastoreItem xmlns:ds="http://schemas.openxmlformats.org/officeDocument/2006/customXml" ds:itemID="{EDCBEEF9-F712-46F0-9B04-9A320C1A6B89}"/>
</file>

<file path=customXml/itemProps2.xml><?xml version="1.0" encoding="utf-8"?>
<ds:datastoreItem xmlns:ds="http://schemas.openxmlformats.org/officeDocument/2006/customXml" ds:itemID="{1A950C7E-1A02-4B9C-8F60-D66C6AC29C4A}"/>
</file>

<file path=customXml/itemProps3.xml><?xml version="1.0" encoding="utf-8"?>
<ds:datastoreItem xmlns:ds="http://schemas.openxmlformats.org/officeDocument/2006/customXml" ds:itemID="{E0D695EC-9ADB-4964-984E-239D9BD68708}"/>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Sweden</dc:title>
  <dc:creator>Nicolina Levander</dc:creator>
  <cp:lastModifiedBy>Josefin Simonsson Brodén</cp:lastModifiedBy>
  <cp:revision>8</cp:revision>
  <dcterms:created xsi:type="dcterms:W3CDTF">2017-04-07T10:04:00Z</dcterms:created>
  <dcterms:modified xsi:type="dcterms:W3CDTF">2017-05-01T19:06:00Z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0x010100CA92D31222379248846EF4F1EBFB5EDE00D8195390A480DD47BAE1B14EA2CC672D</vt:lpwstr>
  </property>
</Properties>
</file>