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48" w:rsidRPr="006D5557" w:rsidRDefault="00E01E48" w:rsidP="00E01E48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120" w:line="360" w:lineRule="auto"/>
        <w:ind w:left="426" w:hanging="993"/>
      </w:pPr>
      <w:r w:rsidRPr="006D5557">
        <w:rPr>
          <w:noProof/>
          <w:lang w:val="de-DE" w:eastAsia="de-DE"/>
        </w:rPr>
        <w:drawing>
          <wp:inline distT="0" distB="0" distL="0" distR="0" wp14:anchorId="4122D1E6" wp14:editId="6FDB2E48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48" w:rsidRPr="006D5557" w:rsidRDefault="00E01E48" w:rsidP="00E01E48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120" w:line="360" w:lineRule="auto"/>
        <w:ind w:left="426" w:firstLine="141"/>
        <w:rPr>
          <w:rFonts w:ascii="Arial" w:hAnsi="Arial" w:cs="Arial"/>
          <w:sz w:val="22"/>
          <w:szCs w:val="22"/>
        </w:rPr>
      </w:pPr>
    </w:p>
    <w:p w:rsidR="00E01E48" w:rsidRPr="006D5557" w:rsidRDefault="00E01E48" w:rsidP="00E01E48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E01E48" w:rsidRPr="00E01E48" w:rsidRDefault="00E01E48" w:rsidP="00E01E48">
      <w:pPr>
        <w:jc w:val="center"/>
        <w:rPr>
          <w:b/>
          <w:sz w:val="32"/>
          <w:szCs w:val="32"/>
          <w:lang w:val="en-US"/>
        </w:rPr>
      </w:pPr>
      <w:r w:rsidRPr="00E01E48">
        <w:rPr>
          <w:b/>
          <w:sz w:val="32"/>
          <w:szCs w:val="32"/>
          <w:lang w:val="en-US"/>
        </w:rPr>
        <w:t>United Nations Human Rights Council</w:t>
      </w:r>
    </w:p>
    <w:p w:rsidR="00E01E48" w:rsidRDefault="00E01E48" w:rsidP="00E01E48">
      <w:pPr>
        <w:jc w:val="center"/>
        <w:rPr>
          <w:b/>
          <w:sz w:val="32"/>
          <w:szCs w:val="32"/>
          <w:lang w:val="en-US"/>
        </w:rPr>
      </w:pPr>
    </w:p>
    <w:p w:rsidR="00E01E48" w:rsidRPr="00E01E48" w:rsidRDefault="00D8739A" w:rsidP="00E01E4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27</w:t>
      </w:r>
      <w:r w:rsidR="00E01E48" w:rsidRPr="00E01E48">
        <w:rPr>
          <w:b/>
          <w:sz w:val="32"/>
          <w:szCs w:val="32"/>
          <w:vertAlign w:val="superscript"/>
          <w:lang w:val="en-US"/>
        </w:rPr>
        <w:t>th</w:t>
      </w:r>
      <w:r w:rsidR="00E01E48" w:rsidRPr="00E01E48">
        <w:rPr>
          <w:b/>
          <w:sz w:val="32"/>
          <w:szCs w:val="32"/>
          <w:lang w:val="en-US"/>
        </w:rPr>
        <w:t xml:space="preserve"> Session of the UPR Working Group</w:t>
      </w:r>
    </w:p>
    <w:p w:rsidR="00E01E48" w:rsidRPr="00E01E48" w:rsidRDefault="00E01E48" w:rsidP="00E01E48">
      <w:pPr>
        <w:jc w:val="center"/>
        <w:rPr>
          <w:b/>
          <w:sz w:val="32"/>
          <w:szCs w:val="32"/>
          <w:lang w:val="en-US"/>
        </w:rPr>
      </w:pPr>
    </w:p>
    <w:p w:rsidR="00E01E48" w:rsidRPr="00E01E48" w:rsidRDefault="00E01E48" w:rsidP="00E01E48">
      <w:pPr>
        <w:jc w:val="center"/>
        <w:rPr>
          <w:b/>
          <w:sz w:val="32"/>
          <w:szCs w:val="32"/>
          <w:lang w:val="en-US"/>
        </w:rPr>
      </w:pPr>
      <w:r w:rsidRPr="00E01E48">
        <w:rPr>
          <w:b/>
          <w:sz w:val="32"/>
          <w:szCs w:val="32"/>
          <w:lang w:val="en-US"/>
        </w:rPr>
        <w:t>Geneva, 8 May 2017</w:t>
      </w:r>
    </w:p>
    <w:p w:rsidR="00E01E48" w:rsidRPr="00E01E48" w:rsidRDefault="00E01E48" w:rsidP="00E01E48">
      <w:pPr>
        <w:jc w:val="center"/>
        <w:rPr>
          <w:b/>
          <w:sz w:val="32"/>
          <w:szCs w:val="32"/>
          <w:lang w:val="en-US"/>
        </w:rPr>
      </w:pPr>
    </w:p>
    <w:p w:rsidR="00E01E48" w:rsidRPr="00E01E48" w:rsidRDefault="00E01E48" w:rsidP="00E01E48">
      <w:pPr>
        <w:jc w:val="center"/>
        <w:rPr>
          <w:b/>
          <w:sz w:val="32"/>
          <w:szCs w:val="32"/>
          <w:lang w:val="en-US"/>
        </w:rPr>
      </w:pPr>
      <w:r w:rsidRPr="00E01E48">
        <w:rPr>
          <w:b/>
          <w:sz w:val="32"/>
          <w:szCs w:val="32"/>
          <w:lang w:val="en-US"/>
        </w:rPr>
        <w:t>German questions and recommendations to</w:t>
      </w:r>
    </w:p>
    <w:p w:rsidR="00E01E48" w:rsidRPr="00E01E48" w:rsidRDefault="00E01E48" w:rsidP="00E01E48">
      <w:pPr>
        <w:jc w:val="center"/>
        <w:rPr>
          <w:b/>
          <w:sz w:val="32"/>
          <w:szCs w:val="32"/>
          <w:lang w:val="en-US"/>
        </w:rPr>
      </w:pPr>
      <w:r w:rsidRPr="00E01E48">
        <w:rPr>
          <w:b/>
          <w:sz w:val="32"/>
          <w:szCs w:val="32"/>
          <w:lang w:val="en-US"/>
        </w:rPr>
        <w:t>The Philippines</w:t>
      </w:r>
    </w:p>
    <w:p w:rsidR="00E01E48" w:rsidRPr="006D5557" w:rsidRDefault="00E01E48" w:rsidP="00E01E48">
      <w:pPr>
        <w:spacing w:after="120"/>
        <w:rPr>
          <w:rFonts w:cstheme="minorHAnsi"/>
          <w:b/>
          <w:color w:val="000000"/>
          <w:sz w:val="28"/>
          <w:szCs w:val="28"/>
          <w:lang w:val="en-US"/>
        </w:rPr>
      </w:pPr>
      <w:r w:rsidRPr="006D5557">
        <w:rPr>
          <w:rFonts w:cstheme="minorHAnsi"/>
          <w:b/>
          <w:color w:val="000000"/>
          <w:sz w:val="28"/>
          <w:szCs w:val="28"/>
          <w:lang w:val="en-US"/>
        </w:rPr>
        <w:br w:type="page"/>
      </w:r>
    </w:p>
    <w:p w:rsidR="00935F7B" w:rsidRDefault="00E01E48" w:rsidP="00E01E48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  <w:r w:rsidRPr="004304F4">
        <w:rPr>
          <w:rFonts w:cs="Arial"/>
          <w:sz w:val="28"/>
          <w:szCs w:val="28"/>
          <w:lang w:val="en-US"/>
        </w:rPr>
        <w:lastRenderedPageBreak/>
        <w:t>Thank you, Mr. President,</w:t>
      </w:r>
    </w:p>
    <w:p w:rsidR="00935F7B" w:rsidRDefault="002F5526" w:rsidP="00E01E48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Germany </w:t>
      </w:r>
      <w:r w:rsidR="00A16D99">
        <w:rPr>
          <w:rFonts w:cs="Arial"/>
          <w:sz w:val="28"/>
          <w:szCs w:val="28"/>
          <w:lang w:val="en-US"/>
        </w:rPr>
        <w:t>welcomes</w:t>
      </w:r>
      <w:r>
        <w:rPr>
          <w:rFonts w:cs="Arial"/>
          <w:sz w:val="28"/>
          <w:szCs w:val="28"/>
          <w:lang w:val="en-US"/>
        </w:rPr>
        <w:t xml:space="preserve"> the Philippines</w:t>
      </w:r>
      <w:r w:rsidR="000529AB">
        <w:rPr>
          <w:rFonts w:cs="Arial"/>
          <w:sz w:val="28"/>
          <w:szCs w:val="28"/>
          <w:lang w:val="en-US"/>
        </w:rPr>
        <w:t>’</w:t>
      </w:r>
      <w:r>
        <w:rPr>
          <w:rFonts w:cs="Arial"/>
          <w:sz w:val="28"/>
          <w:szCs w:val="28"/>
          <w:lang w:val="en-US"/>
        </w:rPr>
        <w:t xml:space="preserve"> </w:t>
      </w:r>
      <w:r w:rsidR="00FF01FE">
        <w:rPr>
          <w:rFonts w:cs="Arial"/>
          <w:sz w:val="28"/>
          <w:szCs w:val="28"/>
          <w:lang w:val="en-US"/>
        </w:rPr>
        <w:t xml:space="preserve">efforts to address </w:t>
      </w:r>
      <w:r w:rsidR="00D8739A">
        <w:rPr>
          <w:rFonts w:cs="Arial"/>
          <w:sz w:val="28"/>
          <w:szCs w:val="28"/>
          <w:lang w:val="en-US"/>
        </w:rPr>
        <w:t xml:space="preserve">various insurgencies by </w:t>
      </w:r>
      <w:bookmarkStart w:id="0" w:name="_GoBack"/>
      <w:bookmarkEnd w:id="0"/>
      <w:r w:rsidR="00D8739A">
        <w:rPr>
          <w:rFonts w:cs="Arial"/>
          <w:sz w:val="28"/>
          <w:szCs w:val="28"/>
          <w:lang w:val="en-US"/>
        </w:rPr>
        <w:t xml:space="preserve">striving for </w:t>
      </w:r>
      <w:r w:rsidR="00FF01FE">
        <w:rPr>
          <w:rFonts w:cs="Arial"/>
          <w:sz w:val="28"/>
          <w:szCs w:val="28"/>
          <w:lang w:val="en-US"/>
        </w:rPr>
        <w:t xml:space="preserve">inclusive peace </w:t>
      </w:r>
      <w:r w:rsidR="00C053EE">
        <w:rPr>
          <w:rFonts w:cs="Arial"/>
          <w:sz w:val="28"/>
          <w:szCs w:val="28"/>
          <w:lang w:val="en-US"/>
        </w:rPr>
        <w:t>process</w:t>
      </w:r>
      <w:r w:rsidR="002E7C92">
        <w:rPr>
          <w:rFonts w:cs="Arial"/>
          <w:sz w:val="28"/>
          <w:szCs w:val="28"/>
          <w:lang w:val="en-US"/>
        </w:rPr>
        <w:t>es</w:t>
      </w:r>
      <w:r>
        <w:rPr>
          <w:rFonts w:cs="Arial"/>
          <w:sz w:val="28"/>
          <w:szCs w:val="28"/>
          <w:lang w:val="en-US"/>
        </w:rPr>
        <w:t xml:space="preserve">. </w:t>
      </w:r>
    </w:p>
    <w:p w:rsidR="00A16D99" w:rsidRDefault="001F7D35" w:rsidP="00E01E48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Germany remains deeply concerned about</w:t>
      </w:r>
      <w:r w:rsidR="008E1F3D">
        <w:rPr>
          <w:rFonts w:cs="Arial"/>
          <w:sz w:val="28"/>
          <w:szCs w:val="28"/>
          <w:lang w:val="en-US"/>
        </w:rPr>
        <w:t xml:space="preserve"> reports of</w:t>
      </w:r>
      <w:r>
        <w:rPr>
          <w:rFonts w:cs="Arial"/>
          <w:sz w:val="28"/>
          <w:szCs w:val="28"/>
          <w:lang w:val="en-US"/>
        </w:rPr>
        <w:t xml:space="preserve"> human rights violations</w:t>
      </w:r>
      <w:r w:rsidR="002F5526">
        <w:rPr>
          <w:rFonts w:cs="Arial"/>
          <w:sz w:val="28"/>
          <w:szCs w:val="28"/>
          <w:lang w:val="en-US"/>
        </w:rPr>
        <w:t xml:space="preserve"> in </w:t>
      </w:r>
      <w:r w:rsidR="003E7662">
        <w:rPr>
          <w:rFonts w:cs="Arial"/>
          <w:sz w:val="28"/>
          <w:szCs w:val="28"/>
          <w:lang w:val="en-US"/>
        </w:rPr>
        <w:t>the context of the so called “war on drugs”</w:t>
      </w:r>
      <w:r>
        <w:rPr>
          <w:rFonts w:cs="Arial"/>
          <w:sz w:val="28"/>
          <w:szCs w:val="28"/>
          <w:lang w:val="en-US"/>
        </w:rPr>
        <w:t>. We</w:t>
      </w:r>
      <w:r w:rsidR="00A16D99">
        <w:rPr>
          <w:rFonts w:cs="Arial"/>
          <w:sz w:val="28"/>
          <w:szCs w:val="28"/>
          <w:lang w:val="en-US"/>
        </w:rPr>
        <w:t xml:space="preserve"> would like to </w:t>
      </w:r>
      <w:r w:rsidR="003B10C2">
        <w:rPr>
          <w:rFonts w:cs="Arial"/>
          <w:sz w:val="28"/>
          <w:szCs w:val="28"/>
          <w:lang w:val="en-US"/>
        </w:rPr>
        <w:t xml:space="preserve">offer </w:t>
      </w:r>
      <w:r w:rsidR="00A16D99">
        <w:rPr>
          <w:rFonts w:cs="Arial"/>
          <w:sz w:val="28"/>
          <w:szCs w:val="28"/>
          <w:lang w:val="en-US"/>
        </w:rPr>
        <w:t>the following recommendations</w:t>
      </w:r>
      <w:r w:rsidR="002F5526">
        <w:rPr>
          <w:rFonts w:cs="Arial"/>
          <w:sz w:val="28"/>
          <w:szCs w:val="28"/>
          <w:lang w:val="en-US"/>
        </w:rPr>
        <w:t>:</w:t>
      </w:r>
    </w:p>
    <w:p w:rsidR="003E7662" w:rsidRPr="00D8260A" w:rsidRDefault="006D650D" w:rsidP="000529AB">
      <w:pPr>
        <w:pStyle w:val="Listenabsatz"/>
        <w:numPr>
          <w:ilvl w:val="0"/>
          <w:numId w:val="4"/>
        </w:numPr>
        <w:spacing w:line="360" w:lineRule="auto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T</w:t>
      </w:r>
      <w:r w:rsidR="003E7662" w:rsidRPr="00D8260A">
        <w:rPr>
          <w:rFonts w:cs="Arial"/>
          <w:sz w:val="28"/>
          <w:szCs w:val="28"/>
          <w:lang w:val="en-US"/>
        </w:rPr>
        <w:t>ake</w:t>
      </w:r>
      <w:r w:rsidR="00744E35" w:rsidRPr="00D8260A">
        <w:rPr>
          <w:rFonts w:cs="Arial"/>
          <w:sz w:val="28"/>
          <w:szCs w:val="28"/>
          <w:lang w:val="en-US"/>
        </w:rPr>
        <w:t xml:space="preserve"> all necessary measures</w:t>
      </w:r>
      <w:r w:rsidR="00E01E48" w:rsidRPr="00D8260A">
        <w:rPr>
          <w:rFonts w:cs="Arial"/>
          <w:sz w:val="28"/>
          <w:szCs w:val="28"/>
          <w:lang w:val="en-US"/>
        </w:rPr>
        <w:t xml:space="preserve"> to prevent extrajudicial killings </w:t>
      </w:r>
      <w:r w:rsidR="00935F7B" w:rsidRPr="00D8260A">
        <w:rPr>
          <w:rFonts w:cs="Arial"/>
          <w:sz w:val="28"/>
          <w:szCs w:val="28"/>
          <w:lang w:val="en-US"/>
        </w:rPr>
        <w:t>and</w:t>
      </w:r>
      <w:r w:rsidR="00744E35" w:rsidRPr="00D8260A">
        <w:rPr>
          <w:rFonts w:cs="Arial"/>
          <w:sz w:val="28"/>
          <w:szCs w:val="28"/>
          <w:lang w:val="en-US"/>
        </w:rPr>
        <w:t xml:space="preserve"> </w:t>
      </w:r>
      <w:r w:rsidR="00116E19" w:rsidRPr="00D8260A">
        <w:rPr>
          <w:rFonts w:cs="Arial"/>
          <w:sz w:val="28"/>
          <w:szCs w:val="28"/>
          <w:lang w:val="en-US"/>
        </w:rPr>
        <w:t>en</w:t>
      </w:r>
      <w:r w:rsidR="00744E35" w:rsidRPr="00D8260A">
        <w:rPr>
          <w:rFonts w:cs="Arial"/>
          <w:sz w:val="28"/>
          <w:szCs w:val="28"/>
          <w:lang w:val="en-US"/>
        </w:rPr>
        <w:t>forced disappearances</w:t>
      </w:r>
      <w:r w:rsidR="00A16D99" w:rsidRPr="00D8260A">
        <w:rPr>
          <w:rFonts w:cs="Arial"/>
          <w:sz w:val="28"/>
          <w:szCs w:val="28"/>
          <w:lang w:val="en-US"/>
        </w:rPr>
        <w:t xml:space="preserve"> and carry out impartial investigations to hold perpetrators accountable</w:t>
      </w:r>
      <w:r w:rsidR="00D8260A" w:rsidRPr="00D8260A">
        <w:rPr>
          <w:rFonts w:cs="Arial"/>
          <w:sz w:val="28"/>
          <w:szCs w:val="28"/>
          <w:lang w:val="en-US"/>
        </w:rPr>
        <w:t>;</w:t>
      </w:r>
    </w:p>
    <w:p w:rsidR="008A2902" w:rsidRPr="00D8260A" w:rsidRDefault="003E7662" w:rsidP="000529AB">
      <w:pPr>
        <w:pStyle w:val="Listenabsatz"/>
        <w:numPr>
          <w:ilvl w:val="0"/>
          <w:numId w:val="4"/>
        </w:numPr>
        <w:spacing w:line="360" w:lineRule="auto"/>
        <w:rPr>
          <w:rFonts w:cs="Arial"/>
          <w:sz w:val="28"/>
          <w:szCs w:val="28"/>
          <w:lang w:val="en-US"/>
        </w:rPr>
      </w:pPr>
      <w:r w:rsidRPr="00D8260A">
        <w:rPr>
          <w:rFonts w:cs="Arial"/>
          <w:sz w:val="28"/>
          <w:szCs w:val="28"/>
          <w:lang w:val="en-US"/>
        </w:rPr>
        <w:t>extend</w:t>
      </w:r>
      <w:r w:rsidR="001F081F" w:rsidRPr="00D8260A">
        <w:rPr>
          <w:rFonts w:cs="Arial"/>
          <w:sz w:val="28"/>
          <w:szCs w:val="28"/>
          <w:lang w:val="en-US"/>
        </w:rPr>
        <w:t xml:space="preserve"> an</w:t>
      </w:r>
      <w:r w:rsidR="00116E19" w:rsidRPr="00D8260A">
        <w:rPr>
          <w:rFonts w:cs="Arial"/>
          <w:sz w:val="28"/>
          <w:szCs w:val="28"/>
          <w:lang w:val="en-US"/>
        </w:rPr>
        <w:t xml:space="preserve"> invitation to</w:t>
      </w:r>
      <w:r w:rsidR="00DB4F4A" w:rsidRPr="00D8260A">
        <w:rPr>
          <w:rFonts w:cs="Arial"/>
          <w:sz w:val="28"/>
          <w:szCs w:val="28"/>
          <w:lang w:val="en-US"/>
        </w:rPr>
        <w:t xml:space="preserve"> </w:t>
      </w:r>
      <w:r w:rsidR="00E01E48" w:rsidRPr="00D8260A">
        <w:rPr>
          <w:rFonts w:cs="Arial"/>
          <w:sz w:val="28"/>
          <w:szCs w:val="28"/>
          <w:lang w:val="en-US"/>
        </w:rPr>
        <w:t xml:space="preserve">the </w:t>
      </w:r>
      <w:r w:rsidRPr="00D8260A">
        <w:rPr>
          <w:rFonts w:cs="Arial"/>
          <w:sz w:val="28"/>
          <w:szCs w:val="28"/>
          <w:lang w:val="en-US"/>
        </w:rPr>
        <w:t xml:space="preserve">UN </w:t>
      </w:r>
      <w:r w:rsidR="00C053EE" w:rsidRPr="00D8260A">
        <w:rPr>
          <w:rFonts w:cs="Arial"/>
          <w:sz w:val="28"/>
          <w:szCs w:val="28"/>
          <w:lang w:val="en-US"/>
        </w:rPr>
        <w:t xml:space="preserve">Special Rapporteur on extrajudicial, summary or arbitrary executions </w:t>
      </w:r>
      <w:r w:rsidR="00A16D99" w:rsidRPr="00D8260A">
        <w:rPr>
          <w:rFonts w:cs="Arial"/>
          <w:sz w:val="28"/>
          <w:szCs w:val="28"/>
          <w:lang w:val="en-US"/>
        </w:rPr>
        <w:t>for an</w:t>
      </w:r>
      <w:r w:rsidR="00E01E48" w:rsidRPr="00D8260A">
        <w:rPr>
          <w:rFonts w:cs="Arial"/>
          <w:sz w:val="28"/>
          <w:szCs w:val="28"/>
          <w:lang w:val="en-US"/>
        </w:rPr>
        <w:t xml:space="preserve"> official visit to the country </w:t>
      </w:r>
      <w:r w:rsidR="00116E19" w:rsidRPr="00D8260A">
        <w:rPr>
          <w:rFonts w:cs="Arial"/>
          <w:sz w:val="28"/>
          <w:szCs w:val="28"/>
          <w:lang w:val="en-US"/>
        </w:rPr>
        <w:t>in line with UN terms of reference</w:t>
      </w:r>
      <w:r w:rsidR="00FF01FE" w:rsidRPr="00D8260A">
        <w:rPr>
          <w:rFonts w:cs="Arial"/>
          <w:sz w:val="28"/>
          <w:szCs w:val="28"/>
          <w:lang w:val="en-US"/>
        </w:rPr>
        <w:t xml:space="preserve"> without any further delay</w:t>
      </w:r>
      <w:r w:rsidR="00B32931" w:rsidRPr="00D8260A">
        <w:rPr>
          <w:rFonts w:cs="Arial"/>
          <w:sz w:val="28"/>
          <w:szCs w:val="28"/>
          <w:lang w:val="en-US"/>
        </w:rPr>
        <w:t>;</w:t>
      </w:r>
    </w:p>
    <w:p w:rsidR="00FF01FE" w:rsidRPr="00D8260A" w:rsidRDefault="00FF01FE" w:rsidP="000529AB">
      <w:pPr>
        <w:pStyle w:val="Listenabsatz"/>
        <w:numPr>
          <w:ilvl w:val="0"/>
          <w:numId w:val="4"/>
        </w:numPr>
        <w:spacing w:line="360" w:lineRule="auto"/>
        <w:rPr>
          <w:rFonts w:cs="Arial"/>
          <w:sz w:val="28"/>
          <w:szCs w:val="28"/>
          <w:lang w:val="en-US"/>
        </w:rPr>
      </w:pPr>
      <w:r w:rsidRPr="00D8260A">
        <w:rPr>
          <w:rFonts w:cs="Arial"/>
          <w:sz w:val="28"/>
          <w:szCs w:val="28"/>
          <w:lang w:val="en-US"/>
        </w:rPr>
        <w:t>refrain from</w:t>
      </w:r>
      <w:r w:rsidR="00116E19" w:rsidRPr="00D8260A">
        <w:rPr>
          <w:rFonts w:cs="Arial"/>
          <w:sz w:val="28"/>
          <w:szCs w:val="28"/>
          <w:lang w:val="en-US"/>
        </w:rPr>
        <w:t xml:space="preserve"> lowering </w:t>
      </w:r>
      <w:r w:rsidR="00C053EE" w:rsidRPr="00D8260A">
        <w:rPr>
          <w:rFonts w:cs="Arial"/>
          <w:sz w:val="28"/>
          <w:szCs w:val="28"/>
          <w:lang w:val="en-US"/>
        </w:rPr>
        <w:t>the age of criminal responsibility</w:t>
      </w:r>
      <w:r w:rsidR="00116E19" w:rsidRPr="00D8260A">
        <w:rPr>
          <w:rFonts w:cs="Arial"/>
          <w:sz w:val="28"/>
          <w:szCs w:val="28"/>
          <w:lang w:val="en-US"/>
        </w:rPr>
        <w:t xml:space="preserve"> </w:t>
      </w:r>
      <w:r w:rsidR="003C49A2" w:rsidRPr="00D8260A">
        <w:rPr>
          <w:rFonts w:cs="Arial"/>
          <w:sz w:val="28"/>
          <w:szCs w:val="28"/>
          <w:lang w:val="en-US"/>
        </w:rPr>
        <w:t xml:space="preserve">in line with </w:t>
      </w:r>
      <w:r w:rsidR="00116E19" w:rsidRPr="00D8260A">
        <w:rPr>
          <w:rFonts w:cs="Arial"/>
          <w:sz w:val="28"/>
          <w:szCs w:val="28"/>
          <w:lang w:val="en-US"/>
        </w:rPr>
        <w:t xml:space="preserve">commitments </w:t>
      </w:r>
      <w:r w:rsidR="003C49A2" w:rsidRPr="00D8260A">
        <w:rPr>
          <w:rFonts w:cs="Arial"/>
          <w:sz w:val="28"/>
          <w:szCs w:val="28"/>
          <w:lang w:val="en-US"/>
        </w:rPr>
        <w:t>under</w:t>
      </w:r>
      <w:r w:rsidR="00116E19" w:rsidRPr="00D8260A">
        <w:rPr>
          <w:rFonts w:cs="Arial"/>
          <w:sz w:val="28"/>
          <w:szCs w:val="28"/>
          <w:lang w:val="en-US"/>
        </w:rPr>
        <w:t xml:space="preserve"> the Convention of the Rights of the Child</w:t>
      </w:r>
      <w:r w:rsidR="00D8260A">
        <w:rPr>
          <w:rFonts w:cs="Arial"/>
          <w:sz w:val="28"/>
          <w:szCs w:val="28"/>
          <w:lang w:val="en-US"/>
        </w:rPr>
        <w:t>;</w:t>
      </w:r>
      <w:r w:rsidR="00116E19" w:rsidRPr="00D8260A">
        <w:rPr>
          <w:rFonts w:cs="Arial"/>
          <w:sz w:val="28"/>
          <w:szCs w:val="28"/>
          <w:lang w:val="en-US"/>
        </w:rPr>
        <w:t xml:space="preserve"> </w:t>
      </w:r>
    </w:p>
    <w:p w:rsidR="00935F7B" w:rsidRPr="00D8260A" w:rsidRDefault="00116E19" w:rsidP="000529AB">
      <w:pPr>
        <w:pStyle w:val="Listenabsatz"/>
        <w:numPr>
          <w:ilvl w:val="0"/>
          <w:numId w:val="4"/>
        </w:numPr>
        <w:spacing w:line="360" w:lineRule="auto"/>
        <w:rPr>
          <w:rFonts w:cs="Arial"/>
          <w:sz w:val="28"/>
          <w:szCs w:val="28"/>
          <w:lang w:val="en-US"/>
        </w:rPr>
      </w:pPr>
      <w:proofErr w:type="gramStart"/>
      <w:r w:rsidRPr="00D8260A">
        <w:rPr>
          <w:rFonts w:cs="Arial"/>
          <w:sz w:val="28"/>
          <w:szCs w:val="28"/>
          <w:lang w:val="en-US"/>
        </w:rPr>
        <w:t>take</w:t>
      </w:r>
      <w:proofErr w:type="gramEnd"/>
      <w:r w:rsidRPr="00D8260A">
        <w:rPr>
          <w:rFonts w:cs="Arial"/>
          <w:sz w:val="28"/>
          <w:szCs w:val="28"/>
          <w:lang w:val="en-US"/>
        </w:rPr>
        <w:t xml:space="preserve"> all necessary</w:t>
      </w:r>
      <w:r w:rsidR="00E01E48" w:rsidRPr="00D8260A">
        <w:rPr>
          <w:rFonts w:cs="Arial"/>
          <w:sz w:val="28"/>
          <w:szCs w:val="28"/>
          <w:lang w:val="en-US"/>
        </w:rPr>
        <w:t xml:space="preserve"> measures to protect the life of </w:t>
      </w:r>
      <w:r w:rsidR="00D8260A">
        <w:rPr>
          <w:rFonts w:cs="Arial"/>
          <w:sz w:val="28"/>
          <w:szCs w:val="28"/>
          <w:lang w:val="en-US"/>
        </w:rPr>
        <w:t>h</w:t>
      </w:r>
      <w:r w:rsidR="00E01E48" w:rsidRPr="00D8260A">
        <w:rPr>
          <w:rFonts w:cs="Arial"/>
          <w:sz w:val="28"/>
          <w:szCs w:val="28"/>
          <w:lang w:val="en-US"/>
        </w:rPr>
        <w:t xml:space="preserve">uman </w:t>
      </w:r>
      <w:r w:rsidR="00D8260A">
        <w:rPr>
          <w:rFonts w:cs="Arial"/>
          <w:sz w:val="28"/>
          <w:szCs w:val="28"/>
          <w:lang w:val="en-US"/>
        </w:rPr>
        <w:t>r</w:t>
      </w:r>
      <w:r w:rsidR="00E01E48" w:rsidRPr="00D8260A">
        <w:rPr>
          <w:rFonts w:cs="Arial"/>
          <w:sz w:val="28"/>
          <w:szCs w:val="28"/>
          <w:lang w:val="en-US"/>
        </w:rPr>
        <w:t xml:space="preserve">ights </w:t>
      </w:r>
      <w:r w:rsidR="00D8260A">
        <w:rPr>
          <w:rFonts w:cs="Arial"/>
          <w:sz w:val="28"/>
          <w:szCs w:val="28"/>
          <w:lang w:val="en-US"/>
        </w:rPr>
        <w:t>d</w:t>
      </w:r>
      <w:r w:rsidR="00E01E48" w:rsidRPr="00D8260A">
        <w:rPr>
          <w:rFonts w:cs="Arial"/>
          <w:sz w:val="28"/>
          <w:szCs w:val="28"/>
          <w:lang w:val="en-US"/>
        </w:rPr>
        <w:t>efenders</w:t>
      </w:r>
      <w:r w:rsidR="00E422C1">
        <w:rPr>
          <w:rFonts w:cs="Arial"/>
          <w:sz w:val="28"/>
          <w:szCs w:val="28"/>
          <w:lang w:val="en-US"/>
        </w:rPr>
        <w:t>,</w:t>
      </w:r>
      <w:r w:rsidR="00E01E48" w:rsidRPr="00D8260A">
        <w:rPr>
          <w:rFonts w:cs="Arial"/>
          <w:sz w:val="28"/>
          <w:szCs w:val="28"/>
          <w:lang w:val="en-US"/>
        </w:rPr>
        <w:t xml:space="preserve"> journalists</w:t>
      </w:r>
      <w:r w:rsidR="00E422C1">
        <w:rPr>
          <w:rFonts w:cs="Arial"/>
          <w:sz w:val="28"/>
          <w:szCs w:val="28"/>
          <w:lang w:val="en-US"/>
        </w:rPr>
        <w:t xml:space="preserve"> and other threatened persons</w:t>
      </w:r>
      <w:r w:rsidR="00E01E48" w:rsidRPr="00D8260A">
        <w:rPr>
          <w:rFonts w:cs="Arial"/>
          <w:sz w:val="28"/>
          <w:szCs w:val="28"/>
          <w:lang w:val="en-US"/>
        </w:rPr>
        <w:t xml:space="preserve">. </w:t>
      </w:r>
    </w:p>
    <w:p w:rsidR="00735E1B" w:rsidRDefault="00735E1B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E01E48" w:rsidRDefault="00E01E48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  <w:r w:rsidRPr="00220FFF">
        <w:rPr>
          <w:rFonts w:cs="Arial"/>
          <w:sz w:val="28"/>
          <w:szCs w:val="28"/>
          <w:lang w:val="en-US"/>
        </w:rPr>
        <w:t>I thank you, Mr. President.</w:t>
      </w:r>
    </w:p>
    <w:p w:rsidR="00D8739A" w:rsidRDefault="00D8739A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D8739A" w:rsidRDefault="00D8739A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735E1B" w:rsidRDefault="00735E1B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735E1B" w:rsidRDefault="00735E1B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735E1B" w:rsidRDefault="00735E1B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735E1B" w:rsidRDefault="00735E1B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D8739A" w:rsidRDefault="00D8739A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p w:rsidR="00D8739A" w:rsidRDefault="00735E1B" w:rsidP="00D8739A">
      <w:pPr>
        <w:ind w:left="360"/>
        <w:rPr>
          <w:b/>
          <w:lang w:val="en-US"/>
        </w:rPr>
      </w:pPr>
      <w:r>
        <w:rPr>
          <w:b/>
          <w:lang w:val="en-US"/>
        </w:rPr>
        <w:lastRenderedPageBreak/>
        <w:t xml:space="preserve">GERMAN </w:t>
      </w:r>
      <w:r w:rsidR="00D8739A" w:rsidRPr="009141C7">
        <w:rPr>
          <w:b/>
          <w:lang w:val="en-US"/>
        </w:rPr>
        <w:t>ADVANCE QUESTIONS TO THE PHILIPPINES</w:t>
      </w:r>
    </w:p>
    <w:p w:rsidR="00B036E5" w:rsidRDefault="00D8739A" w:rsidP="00D8739A">
      <w:pPr>
        <w:pStyle w:val="Listenabsatz"/>
        <w:numPr>
          <w:ilvl w:val="0"/>
          <w:numId w:val="1"/>
        </w:numPr>
        <w:rPr>
          <w:lang w:val="en-US"/>
        </w:rPr>
      </w:pPr>
      <w:r w:rsidRPr="001E67C8">
        <w:rPr>
          <w:lang w:val="en-US"/>
        </w:rPr>
        <w:t xml:space="preserve">In the context of the fight against illegal drugs more than 7000 </w:t>
      </w:r>
      <w:r w:rsidRPr="001E67C8">
        <w:rPr>
          <w:b/>
          <w:lang w:val="en-US"/>
        </w:rPr>
        <w:t>extrajudicial killings</w:t>
      </w:r>
      <w:r w:rsidRPr="001E67C8">
        <w:rPr>
          <w:lang w:val="en-US"/>
        </w:rPr>
        <w:t xml:space="preserve"> have been reported since June 2016. What concrete measures </w:t>
      </w:r>
      <w:r w:rsidR="00735E1B">
        <w:rPr>
          <w:lang w:val="en-US"/>
        </w:rPr>
        <w:t>are the Philippines</w:t>
      </w:r>
      <w:r w:rsidRPr="001E67C8">
        <w:rPr>
          <w:lang w:val="en-US"/>
        </w:rPr>
        <w:t xml:space="preserve"> taking to ensure the effective prevention and prompt investigation of all extrajudicial killings as well as the prosecution of alleged perpetrators?</w:t>
      </w:r>
      <w:r w:rsidRPr="001E67C8">
        <w:rPr>
          <w:lang w:val="en-US"/>
        </w:rPr>
        <w:br/>
      </w:r>
    </w:p>
    <w:p w:rsidR="00B036E5" w:rsidRDefault="00735E1B" w:rsidP="00B036E5">
      <w:pPr>
        <w:pStyle w:val="Listenabsatz"/>
        <w:rPr>
          <w:lang w:val="en-US"/>
        </w:rPr>
      </w:pPr>
      <w:r>
        <w:rPr>
          <w:lang w:val="en-US"/>
        </w:rPr>
        <w:t>When will the Philippines</w:t>
      </w:r>
      <w:r w:rsidRPr="001E67C8">
        <w:rPr>
          <w:lang w:val="en-US"/>
        </w:rPr>
        <w:t xml:space="preserve"> </w:t>
      </w:r>
      <w:r w:rsidR="001F049B">
        <w:rPr>
          <w:lang w:val="en-US"/>
        </w:rPr>
        <w:t xml:space="preserve">start to </w:t>
      </w:r>
      <w:r w:rsidR="00D8739A" w:rsidRPr="001E67C8">
        <w:rPr>
          <w:lang w:val="en-US"/>
        </w:rPr>
        <w:t>continuously and publicly provide statistics with data from credible sources on killings and investigations?</w:t>
      </w:r>
      <w:r w:rsidR="00D8739A" w:rsidRPr="001E67C8">
        <w:rPr>
          <w:lang w:val="en-US"/>
        </w:rPr>
        <w:br/>
      </w:r>
    </w:p>
    <w:p w:rsidR="00D8739A" w:rsidRPr="001E67C8" w:rsidRDefault="00D8739A" w:rsidP="00B036E5">
      <w:pPr>
        <w:pStyle w:val="Listenabsatz"/>
        <w:rPr>
          <w:lang w:val="en-US"/>
        </w:rPr>
      </w:pPr>
      <w:r w:rsidRPr="001E67C8">
        <w:rPr>
          <w:lang w:val="en-US"/>
        </w:rPr>
        <w:t xml:space="preserve">How many investigations of </w:t>
      </w:r>
      <w:r w:rsidR="00D517CC">
        <w:rPr>
          <w:lang w:val="en-US"/>
        </w:rPr>
        <w:t>these extrajudicial killings</w:t>
      </w:r>
      <w:r w:rsidRPr="001E67C8">
        <w:rPr>
          <w:lang w:val="en-US"/>
        </w:rPr>
        <w:t xml:space="preserve"> have already been launched and how many have led to a formal prosecution and sanctions? </w:t>
      </w:r>
    </w:p>
    <w:p w:rsidR="00D8739A" w:rsidRPr="001E67C8" w:rsidRDefault="00D8739A" w:rsidP="00D8739A">
      <w:pPr>
        <w:pStyle w:val="Listenabsatz"/>
        <w:rPr>
          <w:lang w:val="en-US"/>
        </w:rPr>
      </w:pPr>
    </w:p>
    <w:p w:rsidR="00B036E5" w:rsidRDefault="00D8739A" w:rsidP="00D8739A">
      <w:pPr>
        <w:pStyle w:val="Listenabsatz"/>
        <w:numPr>
          <w:ilvl w:val="0"/>
          <w:numId w:val="1"/>
        </w:numPr>
        <w:rPr>
          <w:lang w:val="en-US"/>
        </w:rPr>
      </w:pPr>
      <w:r w:rsidRPr="001E67C8">
        <w:rPr>
          <w:lang w:val="en-US"/>
        </w:rPr>
        <w:t xml:space="preserve">Also in consequence to the fight against illegal drugs, </w:t>
      </w:r>
      <w:r w:rsidRPr="001E67C8">
        <w:rPr>
          <w:b/>
          <w:lang w:val="en-US"/>
        </w:rPr>
        <w:t>the conditions in detention facilities</w:t>
      </w:r>
      <w:r w:rsidRPr="001E67C8">
        <w:rPr>
          <w:lang w:val="en-US"/>
        </w:rPr>
        <w:t xml:space="preserve"> have worsened and their maximum occupancy often has been exceeded </w:t>
      </w:r>
      <w:r w:rsidR="00F45E65">
        <w:rPr>
          <w:lang w:val="en-US"/>
        </w:rPr>
        <w:t>substantially.</w:t>
      </w:r>
      <w:r w:rsidRPr="001E67C8">
        <w:rPr>
          <w:lang w:val="en-US"/>
        </w:rPr>
        <w:t xml:space="preserve"> What measures is the government taking to ensure humane conditions in prisons and to provide medical services to drug</w:t>
      </w:r>
      <w:r w:rsidR="0049628D">
        <w:rPr>
          <w:lang w:val="en-US"/>
        </w:rPr>
        <w:t>-</w:t>
      </w:r>
      <w:r w:rsidRPr="001E67C8">
        <w:rPr>
          <w:lang w:val="en-US"/>
        </w:rPr>
        <w:t>addicted detainees?</w:t>
      </w:r>
      <w:r w:rsidR="0049628D" w:rsidRPr="001E67C8">
        <w:rPr>
          <w:lang w:val="en-US"/>
        </w:rPr>
        <w:t xml:space="preserve"> </w:t>
      </w:r>
      <w:r w:rsidR="0049628D">
        <w:rPr>
          <w:lang w:val="en-US"/>
        </w:rPr>
        <w:t xml:space="preserve"> </w:t>
      </w:r>
    </w:p>
    <w:p w:rsidR="00B036E5" w:rsidRPr="00B036E5" w:rsidRDefault="00B036E5" w:rsidP="00B036E5">
      <w:pPr>
        <w:pStyle w:val="Listenabsatz"/>
        <w:rPr>
          <w:lang w:val="en-US"/>
        </w:rPr>
      </w:pPr>
    </w:p>
    <w:p w:rsidR="00D8739A" w:rsidRPr="001E67C8" w:rsidRDefault="00D8739A" w:rsidP="00B036E5">
      <w:pPr>
        <w:pStyle w:val="Listenabsatz"/>
        <w:rPr>
          <w:lang w:val="en-US"/>
        </w:rPr>
      </w:pPr>
      <w:r w:rsidRPr="001E67C8">
        <w:rPr>
          <w:lang w:val="en-US"/>
        </w:rPr>
        <w:t>Will the Philippines consider replacing pretrial detention with non-custodial measures in line with the 2016 UNCAT recommendations?</w:t>
      </w:r>
    </w:p>
    <w:p w:rsidR="00D8739A" w:rsidRPr="001E67C8" w:rsidRDefault="00D8739A" w:rsidP="00D8739A">
      <w:pPr>
        <w:pStyle w:val="Listenabsatz"/>
        <w:rPr>
          <w:lang w:val="en-US"/>
        </w:rPr>
      </w:pPr>
    </w:p>
    <w:p w:rsidR="00D8739A" w:rsidRPr="001E67C8" w:rsidRDefault="00D8739A" w:rsidP="00D8739A">
      <w:pPr>
        <w:pStyle w:val="Listenabsatz"/>
        <w:numPr>
          <w:ilvl w:val="0"/>
          <w:numId w:val="1"/>
        </w:numPr>
        <w:rPr>
          <w:lang w:val="en-US"/>
        </w:rPr>
      </w:pPr>
      <w:r w:rsidRPr="001E67C8">
        <w:rPr>
          <w:lang w:val="en-US"/>
        </w:rPr>
        <w:t>The Philippine</w:t>
      </w:r>
      <w:r w:rsidR="00B036E5">
        <w:rPr>
          <w:lang w:val="en-US"/>
        </w:rPr>
        <w:t>s</w:t>
      </w:r>
      <w:r w:rsidRPr="001E67C8">
        <w:rPr>
          <w:lang w:val="en-US"/>
        </w:rPr>
        <w:t xml:space="preserve"> </w:t>
      </w:r>
      <w:r w:rsidR="00B036E5">
        <w:rPr>
          <w:lang w:val="en-US"/>
        </w:rPr>
        <w:t>are</w:t>
      </w:r>
      <w:r w:rsidRPr="001E67C8">
        <w:rPr>
          <w:lang w:val="en-US"/>
        </w:rPr>
        <w:t xml:space="preserve"> discussing </w:t>
      </w:r>
      <w:r w:rsidR="00806688">
        <w:rPr>
          <w:lang w:val="en-US"/>
        </w:rPr>
        <w:t>to reinstate</w:t>
      </w:r>
      <w:r w:rsidRPr="001E67C8">
        <w:rPr>
          <w:lang w:val="en-US"/>
        </w:rPr>
        <w:t xml:space="preserve"> </w:t>
      </w:r>
      <w:r w:rsidRPr="001E67C8">
        <w:rPr>
          <w:b/>
          <w:lang w:val="en-US"/>
        </w:rPr>
        <w:t>the death penalty</w:t>
      </w:r>
      <w:r w:rsidRPr="001E67C8">
        <w:rPr>
          <w:lang w:val="en-US"/>
        </w:rPr>
        <w:t xml:space="preserve">, which </w:t>
      </w:r>
      <w:r w:rsidR="006D650D">
        <w:rPr>
          <w:lang w:val="en-US"/>
        </w:rPr>
        <w:t xml:space="preserve">would </w:t>
      </w:r>
      <w:r>
        <w:rPr>
          <w:lang w:val="en-US"/>
        </w:rPr>
        <w:t>constitute a</w:t>
      </w:r>
      <w:r w:rsidRPr="001E67C8">
        <w:rPr>
          <w:lang w:val="en-US"/>
        </w:rPr>
        <w:t xml:space="preserve"> breach of </w:t>
      </w:r>
      <w:r w:rsidR="00806688">
        <w:rPr>
          <w:lang w:val="en-US"/>
        </w:rPr>
        <w:t xml:space="preserve">its </w:t>
      </w:r>
      <w:r w:rsidRPr="001E67C8">
        <w:rPr>
          <w:lang w:val="en-US"/>
        </w:rPr>
        <w:t xml:space="preserve">commitments under the second Optional Protocol to the ICCPR. Will the Philippines reconsider the reinstatement of the death penalty? </w:t>
      </w:r>
    </w:p>
    <w:p w:rsidR="00D8739A" w:rsidRPr="001E67C8" w:rsidRDefault="00D8739A" w:rsidP="00D8739A">
      <w:pPr>
        <w:pStyle w:val="Listenabsatz"/>
        <w:rPr>
          <w:lang w:val="en-US"/>
        </w:rPr>
      </w:pPr>
    </w:p>
    <w:p w:rsidR="00D8739A" w:rsidRPr="001E67C8" w:rsidRDefault="00D8739A" w:rsidP="00D8739A">
      <w:pPr>
        <w:pStyle w:val="Listenabsatz"/>
        <w:numPr>
          <w:ilvl w:val="0"/>
          <w:numId w:val="1"/>
        </w:numPr>
        <w:rPr>
          <w:lang w:val="en-US"/>
        </w:rPr>
      </w:pPr>
      <w:r w:rsidRPr="001E67C8">
        <w:rPr>
          <w:lang w:val="en-US"/>
        </w:rPr>
        <w:t xml:space="preserve">The Philippine Congress is currently discussing a bill aiming </w:t>
      </w:r>
      <w:r w:rsidRPr="001E67C8">
        <w:rPr>
          <w:b/>
          <w:lang w:val="en-US"/>
        </w:rPr>
        <w:t>to lower the age of criminal responsibility to 9 years</w:t>
      </w:r>
      <w:r w:rsidRPr="001E67C8">
        <w:rPr>
          <w:lang w:val="en-US"/>
        </w:rPr>
        <w:t>, which would be a direct breach of the Convention on the Rights of the Child. Will the Philippines reconsider the lowering of the age of criminal responsibility?</w:t>
      </w:r>
    </w:p>
    <w:p w:rsidR="00D8739A" w:rsidRPr="001E67C8" w:rsidRDefault="00D8739A" w:rsidP="00D8739A">
      <w:pPr>
        <w:pStyle w:val="Listenabsatz"/>
        <w:rPr>
          <w:lang w:val="en-US"/>
        </w:rPr>
      </w:pPr>
    </w:p>
    <w:p w:rsidR="00D8739A" w:rsidRPr="001E67C8" w:rsidRDefault="00D8739A" w:rsidP="00D8739A">
      <w:pPr>
        <w:pStyle w:val="Listenabsatz"/>
        <w:numPr>
          <w:ilvl w:val="0"/>
          <w:numId w:val="1"/>
        </w:numPr>
        <w:rPr>
          <w:lang w:val="en-US"/>
        </w:rPr>
      </w:pPr>
      <w:r w:rsidRPr="001E67C8">
        <w:rPr>
          <w:lang w:val="en-US"/>
        </w:rPr>
        <w:t xml:space="preserve">Even though the Philippines have adopted </w:t>
      </w:r>
      <w:r w:rsidR="00CC70DB">
        <w:rPr>
          <w:lang w:val="en-US"/>
        </w:rPr>
        <w:t>an act on e</w:t>
      </w:r>
      <w:r w:rsidRPr="001E67C8">
        <w:rPr>
          <w:lang w:val="en-US"/>
        </w:rPr>
        <w:t xml:space="preserve">nforced or </w:t>
      </w:r>
      <w:r w:rsidR="00CC70DB">
        <w:rPr>
          <w:lang w:val="en-US"/>
        </w:rPr>
        <w:t>i</w:t>
      </w:r>
      <w:r w:rsidRPr="001E67C8">
        <w:rPr>
          <w:lang w:val="en-US"/>
        </w:rPr>
        <w:t xml:space="preserve">nvoluntary </w:t>
      </w:r>
      <w:proofErr w:type="gramStart"/>
      <w:r w:rsidR="00CC70DB">
        <w:rPr>
          <w:lang w:val="en-US"/>
        </w:rPr>
        <w:t>d</w:t>
      </w:r>
      <w:r w:rsidRPr="001E67C8">
        <w:rPr>
          <w:lang w:val="en-US"/>
        </w:rPr>
        <w:t>isappearance  (</w:t>
      </w:r>
      <w:proofErr w:type="gramEnd"/>
      <w:r w:rsidRPr="001E67C8">
        <w:rPr>
          <w:lang w:val="en-US"/>
        </w:rPr>
        <w:t>Republic Act No. 10353</w:t>
      </w:r>
      <w:r w:rsidR="00CC70DB">
        <w:rPr>
          <w:lang w:val="en-US"/>
        </w:rPr>
        <w:t xml:space="preserve"> </w:t>
      </w:r>
      <w:r w:rsidR="00CC70DB" w:rsidRPr="001E67C8">
        <w:rPr>
          <w:lang w:val="en-US"/>
        </w:rPr>
        <w:t>of 2012</w:t>
      </w:r>
      <w:r w:rsidRPr="001E67C8">
        <w:rPr>
          <w:lang w:val="en-US"/>
        </w:rPr>
        <w:t xml:space="preserve">), this issue remains a concern, as the law is not applied to crimes of continuance committed before 2012. What concrete measures is the government taking to effectively implement this national law and to ensure </w:t>
      </w:r>
      <w:r w:rsidRPr="001E67C8">
        <w:rPr>
          <w:b/>
          <w:lang w:val="en-US"/>
        </w:rPr>
        <w:t>the impartial investigation and prosecution of</w:t>
      </w:r>
      <w:r w:rsidRPr="001E67C8">
        <w:rPr>
          <w:lang w:val="en-US"/>
        </w:rPr>
        <w:t xml:space="preserve"> </w:t>
      </w:r>
      <w:r w:rsidRPr="001E67C8">
        <w:rPr>
          <w:b/>
          <w:lang w:val="en-US"/>
        </w:rPr>
        <w:t>enforced disappearances</w:t>
      </w:r>
      <w:r w:rsidRPr="001E67C8">
        <w:rPr>
          <w:lang w:val="en-US"/>
        </w:rPr>
        <w:t>?</w:t>
      </w:r>
    </w:p>
    <w:p w:rsidR="00D8739A" w:rsidRPr="005F25C3" w:rsidRDefault="00D8739A" w:rsidP="005F25C3">
      <w:pPr>
        <w:spacing w:after="120" w:line="360" w:lineRule="auto"/>
        <w:outlineLvl w:val="0"/>
        <w:rPr>
          <w:rFonts w:cs="Arial"/>
          <w:sz w:val="28"/>
          <w:szCs w:val="28"/>
          <w:lang w:val="en-US"/>
        </w:rPr>
      </w:pPr>
    </w:p>
    <w:sectPr w:rsidR="00D8739A" w:rsidRPr="005F25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ED" w:rsidRDefault="004363ED" w:rsidP="005F25C3">
      <w:pPr>
        <w:spacing w:after="0" w:line="240" w:lineRule="auto"/>
      </w:pPr>
      <w:r>
        <w:separator/>
      </w:r>
    </w:p>
  </w:endnote>
  <w:endnote w:type="continuationSeparator" w:id="0">
    <w:p w:rsidR="004363ED" w:rsidRDefault="004363ED" w:rsidP="005F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ED" w:rsidRDefault="004363ED" w:rsidP="005F25C3">
      <w:pPr>
        <w:spacing w:after="0" w:line="240" w:lineRule="auto"/>
      </w:pPr>
      <w:r>
        <w:separator/>
      </w:r>
    </w:p>
  </w:footnote>
  <w:footnote w:type="continuationSeparator" w:id="0">
    <w:p w:rsidR="004363ED" w:rsidRDefault="004363ED" w:rsidP="005F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EFD"/>
    <w:multiLevelType w:val="hybridMultilevel"/>
    <w:tmpl w:val="CAFE14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66C1"/>
    <w:multiLevelType w:val="hybridMultilevel"/>
    <w:tmpl w:val="70B8E41E"/>
    <w:lvl w:ilvl="0" w:tplc="D7AA16AE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8E7C7F"/>
    <w:multiLevelType w:val="hybridMultilevel"/>
    <w:tmpl w:val="B79C4F60"/>
    <w:lvl w:ilvl="0" w:tplc="04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FE70B06"/>
    <w:multiLevelType w:val="hybridMultilevel"/>
    <w:tmpl w:val="2DCC34A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5A"/>
    <w:rsid w:val="0001510C"/>
    <w:rsid w:val="000529AB"/>
    <w:rsid w:val="00076A46"/>
    <w:rsid w:val="001071EA"/>
    <w:rsid w:val="00116E19"/>
    <w:rsid w:val="0014067C"/>
    <w:rsid w:val="001861CC"/>
    <w:rsid w:val="001E75DC"/>
    <w:rsid w:val="001F049B"/>
    <w:rsid w:val="001F081F"/>
    <w:rsid w:val="001F7D35"/>
    <w:rsid w:val="00210089"/>
    <w:rsid w:val="00270A41"/>
    <w:rsid w:val="00297A29"/>
    <w:rsid w:val="002E7C92"/>
    <w:rsid w:val="002F5526"/>
    <w:rsid w:val="00390EF3"/>
    <w:rsid w:val="003B10C2"/>
    <w:rsid w:val="003C49A2"/>
    <w:rsid w:val="003E7662"/>
    <w:rsid w:val="004363ED"/>
    <w:rsid w:val="0049628D"/>
    <w:rsid w:val="004A333D"/>
    <w:rsid w:val="005F25C3"/>
    <w:rsid w:val="00663364"/>
    <w:rsid w:val="006A50DE"/>
    <w:rsid w:val="006D24EA"/>
    <w:rsid w:val="006D650D"/>
    <w:rsid w:val="006E3D5A"/>
    <w:rsid w:val="00735E1B"/>
    <w:rsid w:val="00744E35"/>
    <w:rsid w:val="007A1F8E"/>
    <w:rsid w:val="00806688"/>
    <w:rsid w:val="008127A2"/>
    <w:rsid w:val="00887448"/>
    <w:rsid w:val="008A2902"/>
    <w:rsid w:val="008A6796"/>
    <w:rsid w:val="008E1F3D"/>
    <w:rsid w:val="00916C46"/>
    <w:rsid w:val="00935F7B"/>
    <w:rsid w:val="009A7D0B"/>
    <w:rsid w:val="009E58FA"/>
    <w:rsid w:val="00A16D99"/>
    <w:rsid w:val="00A23CDE"/>
    <w:rsid w:val="00A800A8"/>
    <w:rsid w:val="00B036E5"/>
    <w:rsid w:val="00B1151A"/>
    <w:rsid w:val="00B32931"/>
    <w:rsid w:val="00B94E60"/>
    <w:rsid w:val="00BA18C1"/>
    <w:rsid w:val="00C053EE"/>
    <w:rsid w:val="00CC70DB"/>
    <w:rsid w:val="00CD1380"/>
    <w:rsid w:val="00D517CC"/>
    <w:rsid w:val="00D8260A"/>
    <w:rsid w:val="00D8739A"/>
    <w:rsid w:val="00DB4F4A"/>
    <w:rsid w:val="00E01E48"/>
    <w:rsid w:val="00E422C1"/>
    <w:rsid w:val="00E858A7"/>
    <w:rsid w:val="00ED2A04"/>
    <w:rsid w:val="00F45E65"/>
    <w:rsid w:val="00F64675"/>
    <w:rsid w:val="00F66A4F"/>
    <w:rsid w:val="00FD53E2"/>
    <w:rsid w:val="00FF01FE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1F8E"/>
    <w:pPr>
      <w:ind w:left="720"/>
      <w:contextualSpacing/>
    </w:pPr>
  </w:style>
  <w:style w:type="paragraph" w:styleId="StandardWeb">
    <w:name w:val="Normal (Web)"/>
    <w:basedOn w:val="Standard"/>
    <w:rsid w:val="00E01E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E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25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25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2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1F8E"/>
    <w:pPr>
      <w:ind w:left="720"/>
      <w:contextualSpacing/>
    </w:pPr>
  </w:style>
  <w:style w:type="paragraph" w:styleId="StandardWeb">
    <w:name w:val="Normal (Web)"/>
    <w:basedOn w:val="Standard"/>
    <w:rsid w:val="00E01E4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E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25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25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2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36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9DD5969F787D1B4ABBBC1FDF308FFBBD" ma:contentTypeVersion="2" ma:contentTypeDescription="Country Statements" ma:contentTypeScope="" ma:versionID="b0bd453a22e93da01b325344c713cf5a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546D7-0280-43DD-B75A-6EFA34AB3C8D}"/>
</file>

<file path=customXml/itemProps2.xml><?xml version="1.0" encoding="utf-8"?>
<ds:datastoreItem xmlns:ds="http://schemas.openxmlformats.org/officeDocument/2006/customXml" ds:itemID="{7EB4CAC2-CD82-4956-8C4C-278B59FE5946}"/>
</file>

<file path=customXml/itemProps3.xml><?xml version="1.0" encoding="utf-8"?>
<ds:datastoreItem xmlns:ds="http://schemas.openxmlformats.org/officeDocument/2006/customXml" ds:itemID="{20D02E22-F042-4D5B-9F43-0EBAE81060B2}"/>
</file>

<file path=customXml/itemProps4.xml><?xml version="1.0" encoding="utf-8"?>
<ds:datastoreItem xmlns:ds="http://schemas.openxmlformats.org/officeDocument/2006/customXml" ds:itemID="{51F8DCEE-599B-48B7-B9FF-6D8BE3AE7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creator>Roessner, Frauke (AA privat)</dc:creator>
  <cp:lastModifiedBy>Schneider, Gunnar (AA privat)</cp:lastModifiedBy>
  <cp:revision>2</cp:revision>
  <cp:lastPrinted>2017-04-05T13:26:00Z</cp:lastPrinted>
  <dcterms:created xsi:type="dcterms:W3CDTF">2017-05-08T07:12:00Z</dcterms:created>
  <dcterms:modified xsi:type="dcterms:W3CDTF">2017-05-08T07:12:00Z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0x010100CA92D31222379248846EF4F1EBFB5EDE009DD5969F787D1B4ABBBC1FDF308FFBBD</vt:lpwstr>
  </property>
</Properties>
</file>