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77" w:rsidRDefault="00BC62C7" w:rsidP="00272C77">
      <w:pPr>
        <w:spacing w:after="0" w:line="240" w:lineRule="auto"/>
        <w:jc w:val="center"/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</w:pPr>
      <w:r>
        <w:rPr>
          <w:rFonts w:ascii="Helvetica" w:eastAsia="Arial Unicode MS" w:hAnsi="Helvetica" w:cs="Arial Unicode MS"/>
          <w:b/>
          <w:noProof/>
          <w:color w:val="000000"/>
          <w:bdr w:val="none" w:sz="0" w:space="0" w:color="auto" w:frame="1"/>
        </w:rPr>
        <w:drawing>
          <wp:inline distT="0" distB="0" distL="0" distR="0">
            <wp:extent cx="1022350" cy="1174115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hamas official coat of arms  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247" cy="118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C77" w:rsidRDefault="00272C77" w:rsidP="00272C77">
      <w:pPr>
        <w:spacing w:after="0" w:line="240" w:lineRule="auto"/>
        <w:jc w:val="center"/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</w:pPr>
    </w:p>
    <w:p w:rsidR="00F77827" w:rsidRDefault="00F77827" w:rsidP="00272C77">
      <w:pPr>
        <w:spacing w:after="0" w:line="240" w:lineRule="auto"/>
        <w:jc w:val="center"/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</w:pPr>
      <w:r w:rsidRPr="00CF5133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 xml:space="preserve">Statement </w:t>
      </w:r>
      <w:r w:rsidR="00272C77" w:rsidRPr="00CF5133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 xml:space="preserve">by </w:t>
      </w:r>
      <w:r w:rsidR="00A15069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>Ms. Sasha Dixon, Second Secretary</w:t>
      </w:r>
    </w:p>
    <w:p w:rsidR="00F77827" w:rsidRDefault="00A15069" w:rsidP="00A15069">
      <w:pPr>
        <w:spacing w:after="0" w:line="240" w:lineRule="auto"/>
        <w:jc w:val="center"/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</w:pPr>
      <w:r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 xml:space="preserve">Permanent Mission of </w:t>
      </w:r>
      <w:r w:rsidR="00F77827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 xml:space="preserve">the Commonwealth of </w:t>
      </w:r>
      <w:proofErr w:type="gramStart"/>
      <w:r w:rsidR="00F77827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>The</w:t>
      </w:r>
      <w:proofErr w:type="gramEnd"/>
      <w:r w:rsidR="00F77827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 xml:space="preserve"> Bahamas to the United Nations Office and Other International </w:t>
      </w:r>
      <w:proofErr w:type="spellStart"/>
      <w:r w:rsidR="00F77827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>Organisations</w:t>
      </w:r>
      <w:proofErr w:type="spellEnd"/>
      <w:r w:rsidR="00897DE0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 xml:space="preserve"> </w:t>
      </w:r>
      <w:r w:rsidR="00F77827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>in Geneva</w:t>
      </w:r>
    </w:p>
    <w:p w:rsidR="00F77827" w:rsidRDefault="00F77827" w:rsidP="00F77827">
      <w:pPr>
        <w:spacing w:after="0" w:line="240" w:lineRule="auto"/>
        <w:jc w:val="center"/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</w:pPr>
      <w:proofErr w:type="gramStart"/>
      <w:r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>at</w:t>
      </w:r>
      <w:proofErr w:type="gramEnd"/>
      <w:r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 xml:space="preserve"> the </w:t>
      </w:r>
      <w:r w:rsidR="006B0AF9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>27</w:t>
      </w:r>
      <w:r w:rsidR="006B0AF9" w:rsidRPr="006B0AF9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vertAlign w:val="superscript"/>
          <w:lang w:val="en-US"/>
        </w:rPr>
        <w:t>th</w:t>
      </w:r>
      <w:r w:rsidR="006B0AF9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>Session of the Universal Periodic Review Working Group</w:t>
      </w:r>
      <w:r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br/>
        <w:t>Presentation of National Repor</w:t>
      </w:r>
      <w:r w:rsidR="003C507B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 xml:space="preserve">t by the Government of </w:t>
      </w:r>
      <w:r w:rsidR="006B0AF9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>Ecuador</w:t>
      </w:r>
    </w:p>
    <w:p w:rsidR="00F77827" w:rsidRDefault="00F77827" w:rsidP="00F77827">
      <w:pPr>
        <w:spacing w:after="0" w:line="240" w:lineRule="auto"/>
        <w:jc w:val="center"/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</w:pP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br/>
      </w:r>
      <w:r w:rsidR="009631AB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>1</w:t>
      </w:r>
      <w:r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 xml:space="preserve"> May, 201</w:t>
      </w:r>
      <w:r w:rsidR="006B0AF9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>7</w:t>
      </w:r>
      <w:r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br/>
        <w:t>Geneva, Switzerland</w:t>
      </w:r>
    </w:p>
    <w:p w:rsidR="00F77827" w:rsidRDefault="00F77827" w:rsidP="00F77827">
      <w:pPr>
        <w:spacing w:after="0" w:line="240" w:lineRule="auto"/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</w:pP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</w:t>
      </w:r>
    </w:p>
    <w:p w:rsidR="002A6630" w:rsidRDefault="00F77827" w:rsidP="00844DAA">
      <w:pPr>
        <w:spacing w:after="0" w:line="240" w:lineRule="auto"/>
        <w:jc w:val="both"/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</w:pP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br/>
      </w:r>
      <w:bookmarkStart w:id="0" w:name="OLE_LINK4"/>
      <w:bookmarkStart w:id="1" w:name="OLE_LINK3"/>
      <w:bookmarkStart w:id="2" w:name="_GoBack"/>
      <w:bookmarkEnd w:id="2"/>
      <w:r w:rsidR="00D562D7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br/>
      </w:r>
    </w:p>
    <w:p w:rsidR="00272C77" w:rsidRPr="002D3E32" w:rsidRDefault="00272C77" w:rsidP="00272C77">
      <w:pPr>
        <w:spacing w:after="0" w:line="240" w:lineRule="auto"/>
        <w:jc w:val="both"/>
        <w:rPr>
          <w:rFonts w:ascii="Helvetica" w:eastAsia="Arial Unicode MS" w:hAnsi="Helvetica" w:cs="Arial Unicode MS"/>
          <w:color w:val="000000"/>
          <w:highlight w:val="yellow"/>
          <w:bdr w:val="none" w:sz="0" w:space="0" w:color="auto" w:frame="1"/>
          <w:lang w:val="en-US"/>
        </w:rPr>
      </w:pPr>
      <w:r w:rsidRPr="00797392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Thank you, Mr. </w:t>
      </w:r>
      <w:r w:rsidR="00797392" w:rsidRPr="00797392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[Vice] </w:t>
      </w:r>
      <w:r w:rsidRPr="00797392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President.</w:t>
      </w:r>
      <w:r w:rsidRPr="00797392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ab/>
      </w:r>
    </w:p>
    <w:p w:rsidR="00272C77" w:rsidRPr="002D3E32" w:rsidRDefault="00272C77" w:rsidP="00272C77">
      <w:pPr>
        <w:spacing w:after="0" w:line="240" w:lineRule="auto"/>
        <w:jc w:val="both"/>
        <w:rPr>
          <w:rFonts w:ascii="Helvetica" w:eastAsia="Arial Unicode MS" w:hAnsi="Helvetica" w:cs="Arial Unicode MS"/>
          <w:color w:val="000000"/>
          <w:highlight w:val="yellow"/>
          <w:bdr w:val="none" w:sz="0" w:space="0" w:color="auto" w:frame="1"/>
          <w:lang w:val="en-US"/>
        </w:rPr>
      </w:pPr>
    </w:p>
    <w:p w:rsidR="00272C77" w:rsidRDefault="00A15069" w:rsidP="00272C77">
      <w:pPr>
        <w:spacing w:after="0" w:line="240" w:lineRule="auto"/>
        <w:jc w:val="both"/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</w:pP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The Bahamas</w:t>
      </w:r>
      <w:r w:rsidR="009E6EDA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</w:t>
      </w:r>
      <w:r w:rsidR="005E79A9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warm</w:t>
      </w:r>
      <w:r w:rsidR="002A6630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ly</w:t>
      </w:r>
      <w:r w:rsidR="008A3CE0" w:rsidRPr="00A469D6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</w:t>
      </w:r>
      <w:r w:rsidR="00272C77" w:rsidRPr="00A469D6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welco</w:t>
      </w:r>
      <w:r w:rsidR="002A6630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me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s</w:t>
      </w:r>
      <w:r w:rsidR="002A6630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</w:t>
      </w:r>
      <w:r w:rsidR="003C507B" w:rsidRPr="00A469D6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the </w:t>
      </w:r>
      <w:r w:rsidR="002A6630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Ecuadorian delegation</w:t>
      </w:r>
      <w:r w:rsidR="00616C84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.</w:t>
      </w:r>
      <w:r w:rsidR="0021445C" w:rsidRPr="00A469D6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 </w:t>
      </w:r>
      <w:r w:rsidR="003C507B" w:rsidRPr="00A469D6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ab/>
        <w:t xml:space="preserve">  </w:t>
      </w:r>
    </w:p>
    <w:p w:rsidR="009E6EDA" w:rsidRPr="002D3E32" w:rsidRDefault="009E6EDA" w:rsidP="00272C77">
      <w:pPr>
        <w:spacing w:after="0" w:line="240" w:lineRule="auto"/>
        <w:jc w:val="both"/>
        <w:rPr>
          <w:rFonts w:ascii="Helvetica" w:eastAsia="Arial Unicode MS" w:hAnsi="Helvetica" w:cs="Arial Unicode MS"/>
          <w:color w:val="000000"/>
          <w:highlight w:val="yellow"/>
          <w:bdr w:val="none" w:sz="0" w:space="0" w:color="auto" w:frame="1"/>
          <w:lang w:val="en-US"/>
        </w:rPr>
      </w:pPr>
    </w:p>
    <w:p w:rsidR="00E86E66" w:rsidRDefault="005E79A9" w:rsidP="00272C77">
      <w:pPr>
        <w:tabs>
          <w:tab w:val="left" w:pos="3255"/>
        </w:tabs>
        <w:spacing w:after="0" w:line="240" w:lineRule="auto"/>
        <w:jc w:val="both"/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</w:pP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Ecuador</w:t>
      </w:r>
      <w:r w:rsidR="00D562D7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has made significant strides in the field of human rights since its last Universal Periodic Review (UPR)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, despite challenges</w:t>
      </w:r>
      <w:r w:rsidR="00570DA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,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such as recovery from the earthquake </w:t>
      </w:r>
      <w:r w:rsidR="00570DA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that </w:t>
      </w:r>
      <w:r w:rsidR="00570DAE" w:rsidRPr="007104E9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struck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</w:t>
      </w:r>
      <w:r w:rsidR="00105B79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the country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exactly one year ago.  </w:t>
      </w:r>
      <w:r w:rsidR="00570DA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Further, the inclusive approach </w:t>
      </w:r>
      <w:r w:rsidR="00FB2211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taken </w:t>
      </w:r>
      <w:r w:rsidR="00D54D52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in</w:t>
      </w:r>
      <w:r w:rsidR="00025AC3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</w:t>
      </w:r>
      <w:r w:rsidR="00D54D52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crafting</w:t>
      </w:r>
      <w:r w:rsidR="00FB2211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the national report</w:t>
      </w:r>
      <w:r w:rsidR="0046275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,</w:t>
      </w:r>
      <w:r w:rsidR="00FB2211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</w:t>
      </w:r>
      <w:r w:rsidR="002A6630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and</w:t>
      </w:r>
      <w:r w:rsidR="00D54D52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incorporation</w:t>
      </w:r>
      <w:r w:rsidR="00602BA8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of </w:t>
      </w:r>
      <w:r w:rsidR="00D54D52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supporting statistical data </w:t>
      </w:r>
      <w:r w:rsidR="000B284D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are </w:t>
      </w:r>
      <w:r w:rsidR="00FB2211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commendable.  </w:t>
      </w:r>
    </w:p>
    <w:p w:rsidR="00E86E66" w:rsidRDefault="00E86E66" w:rsidP="00272C77">
      <w:pPr>
        <w:tabs>
          <w:tab w:val="left" w:pos="3255"/>
        </w:tabs>
        <w:spacing w:after="0" w:line="240" w:lineRule="auto"/>
        <w:jc w:val="both"/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</w:pPr>
    </w:p>
    <w:p w:rsidR="006779A7" w:rsidRDefault="0032046C" w:rsidP="00272C77">
      <w:pPr>
        <w:tabs>
          <w:tab w:val="left" w:pos="3255"/>
        </w:tabs>
        <w:spacing w:after="0" w:line="240" w:lineRule="auto"/>
        <w:jc w:val="both"/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</w:pP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The Bahamas </w:t>
      </w:r>
      <w:r w:rsidR="007777C4" w:rsidRPr="00352FCE"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n-US"/>
        </w:rPr>
        <w:t>recommends</w:t>
      </w:r>
      <w:r w:rsidR="007777C4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that </w:t>
      </w:r>
      <w:r w:rsidR="00CF5133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Ecuador</w:t>
      </w:r>
      <w:r w:rsidR="007777C4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:</w:t>
      </w:r>
    </w:p>
    <w:p w:rsidR="007777C4" w:rsidRDefault="007777C4" w:rsidP="00272C77">
      <w:pPr>
        <w:tabs>
          <w:tab w:val="left" w:pos="3255"/>
        </w:tabs>
        <w:spacing w:after="0" w:line="240" w:lineRule="auto"/>
        <w:jc w:val="both"/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</w:pPr>
    </w:p>
    <w:p w:rsidR="007777C4" w:rsidRDefault="006C439E" w:rsidP="007777C4">
      <w:pPr>
        <w:pStyle w:val="ListParagraph"/>
        <w:numPr>
          <w:ilvl w:val="0"/>
          <w:numId w:val="6"/>
        </w:numPr>
        <w:tabs>
          <w:tab w:val="left" w:pos="3255"/>
        </w:tabs>
        <w:spacing w:after="0" w:line="240" w:lineRule="auto"/>
        <w:jc w:val="both"/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</w:pP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Continues to</w:t>
      </w:r>
      <w:r w:rsidR="000B284D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develop, </w:t>
      </w:r>
      <w:r w:rsidR="000B284D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implemen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t, monitor</w:t>
      </w:r>
      <w:r w:rsidR="000B284D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and strengthen </w:t>
      </w:r>
      <w:r w:rsidR="000B284D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policies to reduce </w:t>
      </w:r>
      <w:r w:rsidR="005221D0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rates of obesity and the incidence of non-communicable diseases</w:t>
      </w:r>
      <w:r w:rsidR="00F47D6B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(NCDs)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;</w:t>
      </w:r>
      <w:r w:rsidR="000B307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ab/>
      </w:r>
      <w:r w:rsidR="00352FC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br/>
      </w:r>
    </w:p>
    <w:p w:rsidR="00C17806" w:rsidRDefault="0043229F" w:rsidP="00C17806">
      <w:pPr>
        <w:pStyle w:val="ListParagraph"/>
        <w:numPr>
          <w:ilvl w:val="0"/>
          <w:numId w:val="6"/>
        </w:numPr>
        <w:tabs>
          <w:tab w:val="left" w:pos="3255"/>
        </w:tabs>
        <w:spacing w:after="0" w:line="240" w:lineRule="auto"/>
        <w:jc w:val="both"/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</w:pP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Increase</w:t>
      </w:r>
      <w:r w:rsidR="0046275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s</w:t>
      </w:r>
      <w:r w:rsidR="005221D0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access to </w:t>
      </w:r>
      <w:r w:rsidR="000F6E60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quality </w:t>
      </w:r>
      <w:r w:rsidR="005221D0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education by indigenous and Afro-Ecuadorian women</w:t>
      </w:r>
      <w:r w:rsidR="000F6E60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</w:t>
      </w:r>
      <w:r w:rsidR="000B307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and</w:t>
      </w:r>
      <w:r w:rsidR="000F6E60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those in rural areas</w:t>
      </w:r>
      <w:r w:rsidR="0046275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;</w:t>
      </w:r>
      <w:r w:rsidR="000F6E60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and</w:t>
      </w:r>
      <w:r w:rsidR="000F6E60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ab/>
      </w:r>
      <w:r w:rsidR="000B307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br/>
      </w:r>
    </w:p>
    <w:p w:rsidR="000B307E" w:rsidRPr="006C439E" w:rsidRDefault="006C439E" w:rsidP="006C439E">
      <w:pPr>
        <w:pStyle w:val="ListParagraph"/>
        <w:numPr>
          <w:ilvl w:val="0"/>
          <w:numId w:val="6"/>
        </w:numPr>
        <w:tabs>
          <w:tab w:val="left" w:pos="3255"/>
        </w:tabs>
        <w:spacing w:after="0" w:line="240" w:lineRule="auto"/>
        <w:jc w:val="both"/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</w:pP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Introduce</w:t>
      </w:r>
      <w:r w:rsidR="0046275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s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t</w:t>
      </w:r>
      <w:r w:rsidRPr="006C439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arget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ed</w:t>
      </w:r>
      <w:r w:rsidRPr="006C439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</w:t>
      </w:r>
      <w:r w:rsidR="0043229F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strategies</w:t>
      </w:r>
      <w:r w:rsidR="00943576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and </w:t>
      </w:r>
      <w:proofErr w:type="spellStart"/>
      <w:r w:rsidR="00943576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labour</w:t>
      </w:r>
      <w:proofErr w:type="spellEnd"/>
      <w:r w:rsidR="00943576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market reforms</w:t>
      </w:r>
      <w:r w:rsidRPr="006C439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to 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promote </w:t>
      </w:r>
      <w:r w:rsidRPr="006C439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women’s</w:t>
      </w:r>
      <w:r w:rsidR="0043229F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increased</w:t>
      </w:r>
      <w:r w:rsidRPr="006C439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participation in formal sector employment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, including by </w:t>
      </w:r>
      <w:r w:rsidR="0043229F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alleviating</w:t>
      </w:r>
      <w:r w:rsidRPr="006C439E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barriers to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such participation.</w:t>
      </w:r>
    </w:p>
    <w:p w:rsidR="00766030" w:rsidRDefault="00AC4358" w:rsidP="00844DAA">
      <w:pPr>
        <w:tabs>
          <w:tab w:val="left" w:pos="3255"/>
        </w:tabs>
        <w:spacing w:after="0" w:line="240" w:lineRule="auto"/>
        <w:jc w:val="both"/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</w:pP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br/>
      </w:r>
      <w:r w:rsidR="00844DAA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Among Ecuador’s noteworthy </w:t>
      </w:r>
      <w:r w:rsidR="002A6630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achievements are progress in reconstruction and generating employment opportunities in earthquake affected areas; increased participation of women in political decision-making; reductions in unemployment rates, including through targeted first job schemes; declines in pre-trial detention rates and continued championing of the rights of persons with disabilities.  </w:t>
      </w:r>
    </w:p>
    <w:p w:rsidR="00766030" w:rsidRDefault="00766030" w:rsidP="00844DAA">
      <w:pPr>
        <w:tabs>
          <w:tab w:val="left" w:pos="3255"/>
        </w:tabs>
        <w:spacing w:after="0" w:line="240" w:lineRule="auto"/>
        <w:jc w:val="both"/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</w:pPr>
    </w:p>
    <w:p w:rsidR="002A6630" w:rsidRDefault="002A6630" w:rsidP="00844DAA">
      <w:pPr>
        <w:tabs>
          <w:tab w:val="left" w:pos="3255"/>
        </w:tabs>
        <w:spacing w:after="0" w:line="240" w:lineRule="auto"/>
        <w:jc w:val="both"/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</w:pP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Further, Ecuador’s conditional cash transfer </w:t>
      </w:r>
      <w:proofErr w:type="spellStart"/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programme</w:t>
      </w:r>
      <w:proofErr w:type="spellEnd"/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has been empirically recognized, by a recent United Nations University</w:t>
      </w:r>
      <w:r w:rsidR="00E07A43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</w:t>
      </w:r>
      <w:r w:rsidR="00B53C9D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(UNU)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-Merit study, as contributing to the remarkable reductions of poverty and inequalities</w:t>
      </w:r>
      <w:r w:rsidR="00D67FEA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</w:t>
      </w:r>
      <w:r w:rsidR="00844DAA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observed </w:t>
      </w:r>
      <w:r w:rsidR="00D67FEA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in Ecuador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.  The findings are </w:t>
      </w:r>
      <w:r w:rsidR="00206A57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indeed 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illustrative of the effectiveness of such initiatives</w:t>
      </w:r>
      <w:r w:rsidR="00844DAA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in promoting social mobility</w:t>
      </w:r>
      <w:r w:rsidR="00D562D7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,</w:t>
      </w:r>
      <w:r w:rsidR="00844DAA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 and w</w:t>
      </w: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e encourage Ecuador to share its experiences in this regard.</w:t>
      </w:r>
    </w:p>
    <w:p w:rsidR="002A6630" w:rsidRDefault="002A6630" w:rsidP="00272C77">
      <w:pPr>
        <w:tabs>
          <w:tab w:val="left" w:pos="3255"/>
        </w:tabs>
        <w:spacing w:after="0" w:line="240" w:lineRule="auto"/>
        <w:jc w:val="both"/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</w:pPr>
    </w:p>
    <w:p w:rsidR="006779A7" w:rsidRDefault="00C17806" w:rsidP="00272C77">
      <w:pPr>
        <w:tabs>
          <w:tab w:val="left" w:pos="3255"/>
        </w:tabs>
        <w:spacing w:after="0" w:line="240" w:lineRule="auto"/>
        <w:jc w:val="both"/>
        <w:rPr>
          <w:rFonts w:ascii="Helvetica" w:eastAsia="Arial Unicode MS" w:hAnsi="Helvetica" w:cs="Arial Unicode MS"/>
          <w:color w:val="000000"/>
          <w:highlight w:val="yellow"/>
          <w:bdr w:val="none" w:sz="0" w:space="0" w:color="auto" w:frame="1"/>
          <w:lang w:val="en-US"/>
        </w:rPr>
      </w:pPr>
      <w:r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 xml:space="preserve">We wish Ecuador </w:t>
      </w:r>
      <w:r w:rsidR="009631AB" w:rsidRPr="009631AB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every success in this UPR process.</w:t>
      </w:r>
      <w:r w:rsidR="009631AB" w:rsidRPr="009631AB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ab/>
      </w:r>
      <w:r w:rsidR="00AC4358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br/>
      </w:r>
      <w:r w:rsidR="00983748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br/>
      </w:r>
      <w:r w:rsidR="00983748" w:rsidRPr="00983748">
        <w:rPr>
          <w:rFonts w:ascii="Helvetica" w:eastAsia="Arial Unicode MS" w:hAnsi="Helvetica" w:cs="Arial Unicode MS"/>
          <w:color w:val="000000"/>
          <w:bdr w:val="none" w:sz="0" w:space="0" w:color="auto" w:frame="1"/>
          <w:lang w:val="en-US"/>
        </w:rPr>
        <w:t>I thank you, Mr. [Vice] President.</w:t>
      </w:r>
      <w:bookmarkEnd w:id="0"/>
      <w:bookmarkEnd w:id="1"/>
    </w:p>
    <w:sectPr w:rsidR="006779A7" w:rsidSect="00983748">
      <w:pgSz w:w="11906" w:h="16838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????????????????????¡§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1913"/>
    <w:multiLevelType w:val="hybridMultilevel"/>
    <w:tmpl w:val="5464DC0E"/>
    <w:lvl w:ilvl="0" w:tplc="66C039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496B"/>
    <w:multiLevelType w:val="hybridMultilevel"/>
    <w:tmpl w:val="B0C62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6FC6"/>
    <w:multiLevelType w:val="hybridMultilevel"/>
    <w:tmpl w:val="5DF0270E"/>
    <w:lvl w:ilvl="0" w:tplc="BAACD6DE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835B5"/>
    <w:multiLevelType w:val="hybridMultilevel"/>
    <w:tmpl w:val="5C325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4100A"/>
    <w:multiLevelType w:val="hybridMultilevel"/>
    <w:tmpl w:val="6D362434"/>
    <w:lvl w:ilvl="0" w:tplc="7D34DB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27"/>
    <w:rsid w:val="000238C4"/>
    <w:rsid w:val="00025AC3"/>
    <w:rsid w:val="00053A1E"/>
    <w:rsid w:val="00057F30"/>
    <w:rsid w:val="00076797"/>
    <w:rsid w:val="00085078"/>
    <w:rsid w:val="0009405D"/>
    <w:rsid w:val="000A0C58"/>
    <w:rsid w:val="000B284D"/>
    <w:rsid w:val="000B307E"/>
    <w:rsid w:val="000B5AEB"/>
    <w:rsid w:val="000F6E60"/>
    <w:rsid w:val="00103A1B"/>
    <w:rsid w:val="00105B79"/>
    <w:rsid w:val="00115081"/>
    <w:rsid w:val="00156982"/>
    <w:rsid w:val="001968B5"/>
    <w:rsid w:val="001A4118"/>
    <w:rsid w:val="001E2370"/>
    <w:rsid w:val="002066B1"/>
    <w:rsid w:val="00206A57"/>
    <w:rsid w:val="00210B71"/>
    <w:rsid w:val="0021445C"/>
    <w:rsid w:val="00214807"/>
    <w:rsid w:val="00241989"/>
    <w:rsid w:val="00244B24"/>
    <w:rsid w:val="00260A0B"/>
    <w:rsid w:val="002710B3"/>
    <w:rsid w:val="00272C77"/>
    <w:rsid w:val="002A6630"/>
    <w:rsid w:val="002A77C9"/>
    <w:rsid w:val="002C36EB"/>
    <w:rsid w:val="002C5C3F"/>
    <w:rsid w:val="002D3E32"/>
    <w:rsid w:val="002D5444"/>
    <w:rsid w:val="002F1E39"/>
    <w:rsid w:val="0032046C"/>
    <w:rsid w:val="003421B0"/>
    <w:rsid w:val="00352FCE"/>
    <w:rsid w:val="003618EA"/>
    <w:rsid w:val="00375F74"/>
    <w:rsid w:val="003A1F80"/>
    <w:rsid w:val="003C507B"/>
    <w:rsid w:val="0043229F"/>
    <w:rsid w:val="0044038A"/>
    <w:rsid w:val="0046275E"/>
    <w:rsid w:val="004D5DD0"/>
    <w:rsid w:val="004E34B4"/>
    <w:rsid w:val="005221D0"/>
    <w:rsid w:val="005268B0"/>
    <w:rsid w:val="005272D7"/>
    <w:rsid w:val="00536EA4"/>
    <w:rsid w:val="00570DAE"/>
    <w:rsid w:val="005E3E07"/>
    <w:rsid w:val="005E79A9"/>
    <w:rsid w:val="00602BA8"/>
    <w:rsid w:val="00616C84"/>
    <w:rsid w:val="006779A7"/>
    <w:rsid w:val="006B0AF9"/>
    <w:rsid w:val="006C439E"/>
    <w:rsid w:val="006D0A3F"/>
    <w:rsid w:val="007104E9"/>
    <w:rsid w:val="00712078"/>
    <w:rsid w:val="00766030"/>
    <w:rsid w:val="00772A0B"/>
    <w:rsid w:val="007777C4"/>
    <w:rsid w:val="00797392"/>
    <w:rsid w:val="007B0E41"/>
    <w:rsid w:val="0082563F"/>
    <w:rsid w:val="00844DAA"/>
    <w:rsid w:val="008576C2"/>
    <w:rsid w:val="00885BE0"/>
    <w:rsid w:val="00897845"/>
    <w:rsid w:val="00897DE0"/>
    <w:rsid w:val="008A3CE0"/>
    <w:rsid w:val="008F0CDA"/>
    <w:rsid w:val="00900216"/>
    <w:rsid w:val="009408B6"/>
    <w:rsid w:val="00943576"/>
    <w:rsid w:val="009631AB"/>
    <w:rsid w:val="00983748"/>
    <w:rsid w:val="00991707"/>
    <w:rsid w:val="00993D77"/>
    <w:rsid w:val="009E6EDA"/>
    <w:rsid w:val="00A045DF"/>
    <w:rsid w:val="00A15069"/>
    <w:rsid w:val="00A355EB"/>
    <w:rsid w:val="00A41A37"/>
    <w:rsid w:val="00A469D6"/>
    <w:rsid w:val="00AA2300"/>
    <w:rsid w:val="00AA2DD2"/>
    <w:rsid w:val="00AC4358"/>
    <w:rsid w:val="00AE3EED"/>
    <w:rsid w:val="00B0797A"/>
    <w:rsid w:val="00B35A57"/>
    <w:rsid w:val="00B36005"/>
    <w:rsid w:val="00B53C9D"/>
    <w:rsid w:val="00B62217"/>
    <w:rsid w:val="00B67CC4"/>
    <w:rsid w:val="00BC62C7"/>
    <w:rsid w:val="00BF7998"/>
    <w:rsid w:val="00C17806"/>
    <w:rsid w:val="00C307D5"/>
    <w:rsid w:val="00C730C2"/>
    <w:rsid w:val="00C75506"/>
    <w:rsid w:val="00CB15C9"/>
    <w:rsid w:val="00CD7F40"/>
    <w:rsid w:val="00CF5133"/>
    <w:rsid w:val="00D50949"/>
    <w:rsid w:val="00D54D52"/>
    <w:rsid w:val="00D562D7"/>
    <w:rsid w:val="00D67FEA"/>
    <w:rsid w:val="00D8275F"/>
    <w:rsid w:val="00DB68A9"/>
    <w:rsid w:val="00DC082A"/>
    <w:rsid w:val="00DC1DDF"/>
    <w:rsid w:val="00E07A43"/>
    <w:rsid w:val="00E35586"/>
    <w:rsid w:val="00E54DB7"/>
    <w:rsid w:val="00E62D55"/>
    <w:rsid w:val="00E86D46"/>
    <w:rsid w:val="00E86E66"/>
    <w:rsid w:val="00ED4F38"/>
    <w:rsid w:val="00F037DC"/>
    <w:rsid w:val="00F13D32"/>
    <w:rsid w:val="00F2317F"/>
    <w:rsid w:val="00F47D6B"/>
    <w:rsid w:val="00F73DB3"/>
    <w:rsid w:val="00F77827"/>
    <w:rsid w:val="00FA1665"/>
    <w:rsid w:val="00FB2211"/>
    <w:rsid w:val="00FD6267"/>
    <w:rsid w:val="00FE719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97690-31B9-4916-9758-35E641F2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827"/>
    <w:pPr>
      <w:spacing w:line="256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DF"/>
    <w:pPr>
      <w:ind w:left="720"/>
      <w:contextualSpacing/>
    </w:pPr>
  </w:style>
  <w:style w:type="paragraph" w:customStyle="1" w:styleId="Default">
    <w:name w:val="Default"/>
    <w:rsid w:val="00AC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AA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1CF3E-C699-46D0-9938-B020267F8B3C}"/>
</file>

<file path=customXml/itemProps2.xml><?xml version="1.0" encoding="utf-8"?>
<ds:datastoreItem xmlns:ds="http://schemas.openxmlformats.org/officeDocument/2006/customXml" ds:itemID="{9A77F15D-1A2D-4EA5-BA40-DF8F6194D4FA}"/>
</file>

<file path=customXml/itemProps3.xml><?xml version="1.0" encoding="utf-8"?>
<ds:datastoreItem xmlns:ds="http://schemas.openxmlformats.org/officeDocument/2006/customXml" ds:itemID="{CB6BE9A1-CBE7-4E09-A403-6296CAB39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</dc:title>
  <dc:creator>Sasha Dixon</dc:creator>
  <cp:lastModifiedBy>Sasha Dixon</cp:lastModifiedBy>
  <cp:revision>2</cp:revision>
  <cp:lastPrinted>2017-05-01T12:11:00Z</cp:lastPrinted>
  <dcterms:created xsi:type="dcterms:W3CDTF">2017-05-01T15:14:00Z</dcterms:created>
  <dcterms:modified xsi:type="dcterms:W3CDTF">2017-05-01T15:14:00Z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