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1" w:rsidRPr="00F22409" w:rsidRDefault="00012491" w:rsidP="00BE0C58">
      <w:pPr>
        <w:spacing w:after="0" w:line="240" w:lineRule="auto"/>
        <w:ind w:firstLine="993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22409">
        <w:rPr>
          <w:rFonts w:ascii="Times New Roman" w:hAnsi="Times New Roman"/>
          <w:i/>
          <w:sz w:val="28"/>
          <w:szCs w:val="28"/>
          <w:u w:val="single"/>
        </w:rPr>
        <w:t>Check against delivery</w:t>
      </w:r>
    </w:p>
    <w:p w:rsidR="00012491" w:rsidRPr="00F22409" w:rsidRDefault="00012491" w:rsidP="00BE0C5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F22409" w:rsidRDefault="007755D1" w:rsidP="00BE0C5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F22409" w:rsidRDefault="007755D1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F22409">
        <w:rPr>
          <w:rFonts w:ascii="Times New Roman" w:hAnsi="Times New Roman"/>
          <w:b/>
          <w:sz w:val="28"/>
          <w:szCs w:val="28"/>
        </w:rPr>
        <w:t>Human Rights Council</w:t>
      </w:r>
    </w:p>
    <w:p w:rsidR="007755D1" w:rsidRPr="00F22409" w:rsidRDefault="007755D1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F22409">
        <w:rPr>
          <w:rFonts w:ascii="Times New Roman" w:hAnsi="Times New Roman"/>
          <w:b/>
          <w:sz w:val="28"/>
          <w:szCs w:val="28"/>
        </w:rPr>
        <w:t>26th session of the UPR Working Group</w:t>
      </w:r>
    </w:p>
    <w:p w:rsidR="007755D1" w:rsidRPr="00F22409" w:rsidRDefault="007755D1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F22409">
        <w:rPr>
          <w:rFonts w:ascii="Times New Roman" w:hAnsi="Times New Roman"/>
          <w:b/>
          <w:sz w:val="28"/>
          <w:szCs w:val="28"/>
        </w:rPr>
        <w:t xml:space="preserve">Review of </w:t>
      </w:r>
      <w:r w:rsidR="00D950B2" w:rsidRPr="00F22409">
        <w:rPr>
          <w:rFonts w:ascii="Times New Roman" w:hAnsi="Times New Roman"/>
          <w:b/>
          <w:sz w:val="28"/>
          <w:szCs w:val="28"/>
        </w:rPr>
        <w:t>Uganda</w:t>
      </w:r>
    </w:p>
    <w:p w:rsidR="007755D1" w:rsidRPr="00F22409" w:rsidRDefault="007755D1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F22409">
        <w:rPr>
          <w:rFonts w:ascii="Times New Roman" w:hAnsi="Times New Roman"/>
          <w:b/>
          <w:sz w:val="28"/>
          <w:szCs w:val="28"/>
        </w:rPr>
        <w:t xml:space="preserve">November </w:t>
      </w:r>
      <w:r w:rsidR="00D950B2" w:rsidRPr="00F22409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F22409">
        <w:rPr>
          <w:rFonts w:ascii="Times New Roman" w:hAnsi="Times New Roman"/>
          <w:b/>
          <w:sz w:val="28"/>
          <w:szCs w:val="28"/>
        </w:rPr>
        <w:t>, 2016</w:t>
      </w:r>
    </w:p>
    <w:p w:rsidR="00D950B2" w:rsidRPr="00F22409" w:rsidRDefault="00D950B2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7755D1" w:rsidRPr="00F22409" w:rsidRDefault="007755D1" w:rsidP="00BE0C5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F22409">
        <w:rPr>
          <w:rFonts w:ascii="Times New Roman" w:hAnsi="Times New Roman"/>
          <w:b/>
          <w:sz w:val="28"/>
          <w:szCs w:val="28"/>
        </w:rPr>
        <w:t>Intervention by Ukraine</w:t>
      </w:r>
    </w:p>
    <w:p w:rsidR="00E47B99" w:rsidRPr="00F22409" w:rsidRDefault="00E47B99" w:rsidP="00BE0C5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47B99" w:rsidRPr="00F22409" w:rsidRDefault="00E47B99" w:rsidP="00BE0C5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 xml:space="preserve">Ukraine is pleased with the </w:t>
      </w:r>
      <w:r w:rsidR="00A557B6" w:rsidRPr="00F22409">
        <w:rPr>
          <w:rFonts w:ascii="Times New Roman" w:hAnsi="Times New Roman"/>
          <w:sz w:val="28"/>
          <w:szCs w:val="28"/>
        </w:rPr>
        <w:t xml:space="preserve">achievements and accomplishments </w:t>
      </w:r>
      <w:r w:rsidRPr="00F22409">
        <w:rPr>
          <w:rFonts w:ascii="Times New Roman" w:hAnsi="Times New Roman"/>
          <w:sz w:val="28"/>
          <w:szCs w:val="28"/>
        </w:rPr>
        <w:t xml:space="preserve">of the Government of the Republic of Uganda since its first </w:t>
      </w:r>
      <w:r w:rsidR="00A557B6" w:rsidRPr="00F22409">
        <w:rPr>
          <w:rFonts w:ascii="Times New Roman" w:hAnsi="Times New Roman"/>
          <w:sz w:val="28"/>
          <w:szCs w:val="28"/>
        </w:rPr>
        <w:t>UPR</w:t>
      </w:r>
      <w:r w:rsidRPr="00F22409">
        <w:rPr>
          <w:rFonts w:ascii="Times New Roman" w:hAnsi="Times New Roman"/>
          <w:sz w:val="28"/>
          <w:szCs w:val="28"/>
        </w:rPr>
        <w:t xml:space="preserve"> in 2011.</w:t>
      </w:r>
    </w:p>
    <w:p w:rsidR="00E47B99" w:rsidRPr="00F22409" w:rsidRDefault="00E47B99" w:rsidP="00BE0C5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 xml:space="preserve">However </w:t>
      </w:r>
      <w:r w:rsidR="0061474F" w:rsidRPr="00F22409">
        <w:rPr>
          <w:rFonts w:ascii="Times New Roman" w:hAnsi="Times New Roman"/>
          <w:sz w:val="28"/>
          <w:szCs w:val="28"/>
        </w:rPr>
        <w:t>we</w:t>
      </w:r>
      <w:r w:rsidRPr="00F22409">
        <w:rPr>
          <w:rFonts w:ascii="Times New Roman" w:hAnsi="Times New Roman"/>
          <w:sz w:val="28"/>
          <w:szCs w:val="28"/>
        </w:rPr>
        <w:t xml:space="preserve"> </w:t>
      </w:r>
      <w:r w:rsidR="00A557B6" w:rsidRPr="00F22409">
        <w:rPr>
          <w:rFonts w:ascii="Times New Roman" w:hAnsi="Times New Roman"/>
          <w:sz w:val="28"/>
          <w:szCs w:val="28"/>
        </w:rPr>
        <w:t xml:space="preserve">think that the </w:t>
      </w:r>
      <w:r w:rsidR="00A557B6" w:rsidRPr="00F22409">
        <w:rPr>
          <w:rFonts w:ascii="Times New Roman" w:hAnsi="Times New Roman"/>
          <w:sz w:val="28"/>
          <w:szCs w:val="28"/>
        </w:rPr>
        <w:t>Government</w:t>
      </w:r>
      <w:r w:rsidR="00A557B6" w:rsidRPr="00F22409">
        <w:rPr>
          <w:rFonts w:ascii="Times New Roman" w:hAnsi="Times New Roman"/>
          <w:sz w:val="28"/>
          <w:szCs w:val="28"/>
        </w:rPr>
        <w:t>’s</w:t>
      </w:r>
      <w:r w:rsidR="00A557B6" w:rsidRPr="00F22409">
        <w:rPr>
          <w:rFonts w:ascii="Times New Roman" w:hAnsi="Times New Roman"/>
          <w:sz w:val="28"/>
          <w:szCs w:val="28"/>
        </w:rPr>
        <w:t xml:space="preserve"> commitment to accede to a number of major human rights international treaties</w:t>
      </w:r>
      <w:r w:rsidR="00A557B6" w:rsidRPr="00F22409">
        <w:rPr>
          <w:rFonts w:ascii="Times New Roman" w:hAnsi="Times New Roman"/>
          <w:sz w:val="28"/>
          <w:szCs w:val="28"/>
        </w:rPr>
        <w:t xml:space="preserve"> could be more</w:t>
      </w:r>
      <w:r w:rsidRPr="00F22409">
        <w:rPr>
          <w:rFonts w:ascii="Times New Roman" w:hAnsi="Times New Roman"/>
          <w:sz w:val="28"/>
          <w:szCs w:val="28"/>
        </w:rPr>
        <w:t xml:space="preserve"> sufficient.</w:t>
      </w:r>
    </w:p>
    <w:p w:rsidR="00C27437" w:rsidRPr="00F22409" w:rsidRDefault="00C27437" w:rsidP="00C2743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>Ukraine</w:t>
      </w:r>
      <w:r w:rsidR="0061474F" w:rsidRPr="00F22409">
        <w:rPr>
          <w:rFonts w:ascii="Times New Roman" w:hAnsi="Times New Roman"/>
          <w:sz w:val="28"/>
          <w:szCs w:val="28"/>
        </w:rPr>
        <w:t xml:space="preserve"> </w:t>
      </w:r>
      <w:r w:rsidRPr="00F22409">
        <w:rPr>
          <w:rFonts w:ascii="Times New Roman" w:hAnsi="Times New Roman"/>
          <w:sz w:val="28"/>
          <w:szCs w:val="28"/>
        </w:rPr>
        <w:t xml:space="preserve">takes note of reported persistence of harmful practices and stereotypes against women, children, </w:t>
      </w:r>
      <w:proofErr w:type="gramStart"/>
      <w:r w:rsidRPr="00F22409">
        <w:rPr>
          <w:rFonts w:ascii="Times New Roman" w:hAnsi="Times New Roman"/>
          <w:sz w:val="28"/>
          <w:szCs w:val="28"/>
        </w:rPr>
        <w:t>persons</w:t>
      </w:r>
      <w:proofErr w:type="gramEnd"/>
      <w:r w:rsidRPr="00F22409">
        <w:rPr>
          <w:rFonts w:ascii="Times New Roman" w:hAnsi="Times New Roman"/>
          <w:sz w:val="28"/>
          <w:szCs w:val="28"/>
        </w:rPr>
        <w:t xml:space="preserve"> with disabilities, sexual minorities, ethnic minority groups and people living with HIV. </w:t>
      </w:r>
    </w:p>
    <w:p w:rsidR="00C27437" w:rsidRPr="00F22409" w:rsidRDefault="0061474F" w:rsidP="0051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>W</w:t>
      </w:r>
      <w:r w:rsidR="00E47B99" w:rsidRPr="00F22409">
        <w:rPr>
          <w:rFonts w:ascii="Times New Roman" w:hAnsi="Times New Roman"/>
          <w:sz w:val="28"/>
          <w:szCs w:val="28"/>
        </w:rPr>
        <w:t xml:space="preserve">e </w:t>
      </w:r>
      <w:r w:rsidR="00E47B99" w:rsidRPr="00F22409">
        <w:rPr>
          <w:rFonts w:ascii="Times New Roman" w:hAnsi="Times New Roman"/>
          <w:b/>
          <w:sz w:val="28"/>
          <w:szCs w:val="28"/>
        </w:rPr>
        <w:t>recommend</w:t>
      </w:r>
      <w:r w:rsidR="00E47B99" w:rsidRPr="00F22409">
        <w:rPr>
          <w:rFonts w:ascii="Times New Roman" w:hAnsi="Times New Roman"/>
          <w:sz w:val="28"/>
          <w:szCs w:val="28"/>
        </w:rPr>
        <w:t xml:space="preserve"> </w:t>
      </w:r>
      <w:r w:rsidR="00C27437" w:rsidRPr="00F22409">
        <w:rPr>
          <w:rFonts w:ascii="Times New Roman" w:hAnsi="Times New Roman"/>
          <w:sz w:val="28"/>
          <w:szCs w:val="28"/>
        </w:rPr>
        <w:t xml:space="preserve">to </w:t>
      </w:r>
      <w:r w:rsidR="00E47B99" w:rsidRPr="00F22409">
        <w:rPr>
          <w:rFonts w:ascii="Times New Roman" w:hAnsi="Times New Roman"/>
          <w:sz w:val="28"/>
          <w:szCs w:val="28"/>
        </w:rPr>
        <w:t xml:space="preserve">the </w:t>
      </w:r>
      <w:r w:rsidRPr="00F22409">
        <w:rPr>
          <w:rFonts w:ascii="Times New Roman" w:hAnsi="Times New Roman"/>
          <w:sz w:val="28"/>
          <w:szCs w:val="28"/>
        </w:rPr>
        <w:t xml:space="preserve">Government of </w:t>
      </w:r>
      <w:r w:rsidR="00E47B99" w:rsidRPr="00F22409">
        <w:rPr>
          <w:rFonts w:ascii="Times New Roman" w:hAnsi="Times New Roman"/>
          <w:sz w:val="28"/>
          <w:szCs w:val="28"/>
        </w:rPr>
        <w:t>Uganda</w:t>
      </w:r>
      <w:r w:rsidR="00C27437" w:rsidRPr="00F22409">
        <w:rPr>
          <w:rFonts w:ascii="Times New Roman" w:hAnsi="Times New Roman"/>
          <w:sz w:val="28"/>
          <w:szCs w:val="28"/>
        </w:rPr>
        <w:t xml:space="preserve"> to:</w:t>
      </w:r>
    </w:p>
    <w:p w:rsidR="00E47B99" w:rsidRPr="00F22409" w:rsidRDefault="00C27437" w:rsidP="0051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 xml:space="preserve">- </w:t>
      </w:r>
      <w:r w:rsidR="00611C77" w:rsidRPr="00F22409">
        <w:rPr>
          <w:rFonts w:ascii="Times New Roman" w:hAnsi="Times New Roman"/>
          <w:sz w:val="28"/>
          <w:szCs w:val="28"/>
        </w:rPr>
        <w:t xml:space="preserve"> </w:t>
      </w:r>
      <w:r w:rsidR="00E47B99" w:rsidRPr="00F22409">
        <w:rPr>
          <w:rFonts w:ascii="Times New Roman" w:hAnsi="Times New Roman"/>
          <w:sz w:val="28"/>
          <w:szCs w:val="28"/>
        </w:rPr>
        <w:t>ratify International Convention for the Protection of All Persons from Enforced Disappearance</w:t>
      </w:r>
      <w:r w:rsidR="00A557B6" w:rsidRPr="00F22409">
        <w:rPr>
          <w:rFonts w:ascii="Times New Roman" w:hAnsi="Times New Roman"/>
          <w:sz w:val="28"/>
          <w:szCs w:val="28"/>
        </w:rPr>
        <w:t>,</w:t>
      </w:r>
      <w:r w:rsidR="00E47B99" w:rsidRPr="00F22409">
        <w:rPr>
          <w:rFonts w:ascii="Times New Roman" w:hAnsi="Times New Roman"/>
          <w:sz w:val="28"/>
          <w:szCs w:val="28"/>
        </w:rPr>
        <w:t xml:space="preserve"> Convention on the Reduction of Statelessness, Optional Protocol</w:t>
      </w:r>
      <w:r w:rsidR="00204F95" w:rsidRPr="00F22409">
        <w:rPr>
          <w:rFonts w:ascii="Times New Roman" w:hAnsi="Times New Roman"/>
          <w:sz w:val="28"/>
          <w:szCs w:val="28"/>
        </w:rPr>
        <w:t>s</w:t>
      </w:r>
      <w:r w:rsidR="00E47B99" w:rsidRPr="00F22409">
        <w:rPr>
          <w:rFonts w:ascii="Times New Roman" w:hAnsi="Times New Roman"/>
          <w:sz w:val="28"/>
          <w:szCs w:val="28"/>
        </w:rPr>
        <w:t xml:space="preserve"> to </w:t>
      </w:r>
      <w:r w:rsidR="00A02894" w:rsidRPr="00F22409">
        <w:rPr>
          <w:rFonts w:ascii="Times New Roman" w:hAnsi="Times New Roman"/>
          <w:sz w:val="28"/>
          <w:szCs w:val="28"/>
        </w:rPr>
        <w:t>CAT and</w:t>
      </w:r>
      <w:r w:rsidR="009156D9" w:rsidRPr="00F22409">
        <w:rPr>
          <w:rFonts w:ascii="Times New Roman" w:hAnsi="Times New Roman"/>
          <w:sz w:val="28"/>
          <w:szCs w:val="28"/>
        </w:rPr>
        <w:t xml:space="preserve"> </w:t>
      </w:r>
      <w:r w:rsidR="00A557B6" w:rsidRPr="00F22409">
        <w:rPr>
          <w:rFonts w:ascii="Times New Roman" w:hAnsi="Times New Roman"/>
          <w:sz w:val="28"/>
          <w:szCs w:val="28"/>
        </w:rPr>
        <w:t>CEDAW</w:t>
      </w:r>
      <w:r w:rsidR="00E47B99" w:rsidRPr="00F22409">
        <w:rPr>
          <w:rFonts w:ascii="Times New Roman" w:hAnsi="Times New Roman"/>
          <w:sz w:val="28"/>
          <w:szCs w:val="28"/>
        </w:rPr>
        <w:t xml:space="preserve"> </w:t>
      </w:r>
      <w:r w:rsidR="00A02894" w:rsidRPr="00F22409">
        <w:rPr>
          <w:rFonts w:ascii="Times New Roman" w:hAnsi="Times New Roman"/>
          <w:sz w:val="28"/>
          <w:szCs w:val="28"/>
        </w:rPr>
        <w:t xml:space="preserve">as well as </w:t>
      </w:r>
      <w:r w:rsidR="00E47B99" w:rsidRPr="00F22409">
        <w:rPr>
          <w:rFonts w:ascii="Times New Roman" w:hAnsi="Times New Roman"/>
          <w:sz w:val="28"/>
          <w:szCs w:val="28"/>
        </w:rPr>
        <w:t xml:space="preserve">Second Optional Protocol to </w:t>
      </w:r>
      <w:r w:rsidR="00A557B6" w:rsidRPr="00F22409">
        <w:rPr>
          <w:rFonts w:ascii="Times New Roman" w:hAnsi="Times New Roman"/>
          <w:sz w:val="28"/>
          <w:szCs w:val="28"/>
        </w:rPr>
        <w:t xml:space="preserve">ICCPR </w:t>
      </w:r>
      <w:r w:rsidR="00611C77" w:rsidRPr="00F22409">
        <w:rPr>
          <w:rFonts w:ascii="Times New Roman" w:hAnsi="Times New Roman"/>
          <w:sz w:val="28"/>
          <w:szCs w:val="28"/>
        </w:rPr>
        <w:t>on death penalty</w:t>
      </w:r>
      <w:r w:rsidR="006D507A" w:rsidRPr="00F22409">
        <w:rPr>
          <w:rFonts w:ascii="Times New Roman" w:hAnsi="Times New Roman"/>
          <w:sz w:val="28"/>
          <w:szCs w:val="28"/>
        </w:rPr>
        <w:t>;</w:t>
      </w:r>
    </w:p>
    <w:p w:rsidR="00436FB4" w:rsidRPr="00F22409" w:rsidRDefault="00436FB4" w:rsidP="00436FB4">
      <w:pPr>
        <w:pStyle w:val="a8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2409">
        <w:rPr>
          <w:sz w:val="28"/>
          <w:szCs w:val="28"/>
        </w:rPr>
        <w:t>-    issue a standing invitation to the HRC special procedures;</w:t>
      </w:r>
    </w:p>
    <w:p w:rsidR="007755D1" w:rsidRPr="00F22409" w:rsidRDefault="006D507A" w:rsidP="0051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 xml:space="preserve">- </w:t>
      </w:r>
      <w:r w:rsidR="00611C77" w:rsidRPr="00F22409">
        <w:rPr>
          <w:rFonts w:ascii="Times New Roman" w:hAnsi="Times New Roman"/>
          <w:sz w:val="28"/>
          <w:szCs w:val="28"/>
        </w:rPr>
        <w:t xml:space="preserve"> </w:t>
      </w:r>
      <w:r w:rsidRPr="00F22409">
        <w:rPr>
          <w:rFonts w:ascii="Times New Roman" w:hAnsi="Times New Roman"/>
          <w:sz w:val="28"/>
          <w:szCs w:val="28"/>
        </w:rPr>
        <w:t xml:space="preserve">take further measures </w:t>
      </w:r>
      <w:r w:rsidR="00FF54C0" w:rsidRPr="00F22409">
        <w:rPr>
          <w:rFonts w:ascii="Times New Roman" w:hAnsi="Times New Roman"/>
          <w:sz w:val="28"/>
          <w:szCs w:val="28"/>
        </w:rPr>
        <w:t xml:space="preserve">to improve children’s enrolment, access, quality and sustainability of education, especially for </w:t>
      </w:r>
      <w:r w:rsidR="00FF54C0" w:rsidRPr="00F22409">
        <w:rPr>
          <w:rFonts w:ascii="Times New Roman" w:hAnsi="Times New Roman"/>
          <w:bCs/>
          <w:sz w:val="28"/>
          <w:szCs w:val="28"/>
        </w:rPr>
        <w:t>girls</w:t>
      </w:r>
      <w:r w:rsidRPr="00F22409">
        <w:rPr>
          <w:rFonts w:ascii="Times New Roman" w:hAnsi="Times New Roman"/>
          <w:sz w:val="28"/>
          <w:szCs w:val="28"/>
        </w:rPr>
        <w:t>;</w:t>
      </w:r>
    </w:p>
    <w:p w:rsidR="00CD02DC" w:rsidRPr="00F22409" w:rsidRDefault="00FE6251" w:rsidP="00CE0210">
      <w:pPr>
        <w:pStyle w:val="a8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2409">
        <w:rPr>
          <w:sz w:val="28"/>
          <w:szCs w:val="28"/>
        </w:rPr>
        <w:t xml:space="preserve">-   </w:t>
      </w:r>
      <w:r w:rsidR="00A557B6" w:rsidRPr="00F22409">
        <w:rPr>
          <w:sz w:val="28"/>
          <w:szCs w:val="28"/>
        </w:rPr>
        <w:t>e</w:t>
      </w:r>
      <w:r w:rsidR="00436FB4" w:rsidRPr="00F22409">
        <w:rPr>
          <w:sz w:val="28"/>
          <w:szCs w:val="28"/>
        </w:rPr>
        <w:t xml:space="preserve">nsure sufficient </w:t>
      </w:r>
      <w:r w:rsidR="00CD02DC" w:rsidRPr="00F22409">
        <w:rPr>
          <w:sz w:val="28"/>
          <w:szCs w:val="28"/>
        </w:rPr>
        <w:t>health budget</w:t>
      </w:r>
      <w:r w:rsidR="00436FB4" w:rsidRPr="00F22409">
        <w:rPr>
          <w:sz w:val="28"/>
          <w:szCs w:val="28"/>
        </w:rPr>
        <w:t xml:space="preserve">, </w:t>
      </w:r>
      <w:r w:rsidR="00CD02DC" w:rsidRPr="00F22409">
        <w:rPr>
          <w:sz w:val="28"/>
          <w:szCs w:val="28"/>
        </w:rPr>
        <w:t>full and equal access to health services</w:t>
      </w:r>
      <w:r w:rsidR="00951292" w:rsidRPr="00F22409">
        <w:rPr>
          <w:sz w:val="28"/>
          <w:szCs w:val="28"/>
        </w:rPr>
        <w:t xml:space="preserve">, in particular </w:t>
      </w:r>
      <w:r w:rsidR="00DA1C86" w:rsidRPr="00F22409">
        <w:rPr>
          <w:sz w:val="28"/>
          <w:szCs w:val="28"/>
        </w:rPr>
        <w:t xml:space="preserve">adolescent, </w:t>
      </w:r>
      <w:r w:rsidR="00951292" w:rsidRPr="00F22409">
        <w:rPr>
          <w:sz w:val="28"/>
          <w:szCs w:val="28"/>
        </w:rPr>
        <w:t>reproductive</w:t>
      </w:r>
      <w:r w:rsidR="00706347" w:rsidRPr="00F22409">
        <w:rPr>
          <w:sz w:val="28"/>
          <w:szCs w:val="28"/>
        </w:rPr>
        <w:t xml:space="preserve"> and</w:t>
      </w:r>
      <w:r w:rsidR="00951292" w:rsidRPr="00F22409">
        <w:rPr>
          <w:sz w:val="28"/>
          <w:szCs w:val="28"/>
        </w:rPr>
        <w:t xml:space="preserve"> </w:t>
      </w:r>
      <w:r w:rsidR="00CD02DC" w:rsidRPr="00F22409">
        <w:rPr>
          <w:sz w:val="28"/>
          <w:szCs w:val="28"/>
        </w:rPr>
        <w:t>family planning services</w:t>
      </w:r>
      <w:r w:rsidR="00DA1C86" w:rsidRPr="00F22409">
        <w:rPr>
          <w:sz w:val="28"/>
          <w:szCs w:val="28"/>
        </w:rPr>
        <w:t xml:space="preserve"> and relevant education.</w:t>
      </w:r>
    </w:p>
    <w:p w:rsidR="007755D1" w:rsidRPr="00F22409" w:rsidRDefault="007755D1" w:rsidP="00BE0C5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409">
        <w:rPr>
          <w:rFonts w:ascii="Times New Roman" w:hAnsi="Times New Roman"/>
          <w:sz w:val="28"/>
          <w:szCs w:val="28"/>
        </w:rPr>
        <w:t>Thank you.</w:t>
      </w:r>
    </w:p>
    <w:p w:rsidR="007755D1" w:rsidRPr="00F22409" w:rsidRDefault="007755D1" w:rsidP="00BE0C5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F22409" w:rsidRDefault="007755D1" w:rsidP="00BE0C5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55D1" w:rsidRPr="00F22409" w:rsidRDefault="007755D1" w:rsidP="00BE0C58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755D1" w:rsidRPr="00F22409" w:rsidSect="00B829EA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E" w:rsidRDefault="00571C9E" w:rsidP="00672F29">
      <w:pPr>
        <w:spacing w:after="0" w:line="240" w:lineRule="auto"/>
      </w:pPr>
      <w:r>
        <w:separator/>
      </w:r>
    </w:p>
  </w:endnote>
  <w:endnote w:type="continuationSeparator" w:id="0">
    <w:p w:rsidR="00571C9E" w:rsidRDefault="00571C9E" w:rsidP="006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E" w:rsidRDefault="00571C9E" w:rsidP="00672F29">
      <w:pPr>
        <w:spacing w:after="0" w:line="240" w:lineRule="auto"/>
      </w:pPr>
      <w:r>
        <w:separator/>
      </w:r>
    </w:p>
  </w:footnote>
  <w:footnote w:type="continuationSeparator" w:id="0">
    <w:p w:rsidR="00571C9E" w:rsidRDefault="00571C9E" w:rsidP="0067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94"/>
    <w:multiLevelType w:val="hybridMultilevel"/>
    <w:tmpl w:val="22BC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CF4"/>
    <w:multiLevelType w:val="hybridMultilevel"/>
    <w:tmpl w:val="591A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7F08"/>
    <w:multiLevelType w:val="hybridMultilevel"/>
    <w:tmpl w:val="62C0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709C"/>
    <w:multiLevelType w:val="hybridMultilevel"/>
    <w:tmpl w:val="E326E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E76A74"/>
    <w:multiLevelType w:val="hybridMultilevel"/>
    <w:tmpl w:val="5D0C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3A01"/>
    <w:multiLevelType w:val="hybridMultilevel"/>
    <w:tmpl w:val="04C6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7C5B"/>
    <w:multiLevelType w:val="hybridMultilevel"/>
    <w:tmpl w:val="059230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6E4F"/>
    <w:multiLevelType w:val="hybridMultilevel"/>
    <w:tmpl w:val="1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4514B"/>
    <w:multiLevelType w:val="hybridMultilevel"/>
    <w:tmpl w:val="D07A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A6F"/>
    <w:multiLevelType w:val="hybridMultilevel"/>
    <w:tmpl w:val="012A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B5396"/>
    <w:multiLevelType w:val="hybridMultilevel"/>
    <w:tmpl w:val="61B4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21F"/>
    <w:multiLevelType w:val="hybridMultilevel"/>
    <w:tmpl w:val="AAA8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40EF5"/>
    <w:multiLevelType w:val="hybridMultilevel"/>
    <w:tmpl w:val="FC36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72157"/>
    <w:multiLevelType w:val="hybridMultilevel"/>
    <w:tmpl w:val="6E1A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155AE"/>
    <w:multiLevelType w:val="hybridMultilevel"/>
    <w:tmpl w:val="440C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E08F0"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3CDC4A14">
      <w:start w:val="4"/>
      <w:numFmt w:val="bullet"/>
      <w:lvlText w:val="-"/>
      <w:lvlJc w:val="left"/>
      <w:pPr>
        <w:ind w:left="3240" w:hanging="720"/>
      </w:pPr>
      <w:rPr>
        <w:rFonts w:ascii="Times New Roman" w:eastAsia="Calibri" w:hAnsi="Times New Roman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45431"/>
    <w:multiLevelType w:val="hybridMultilevel"/>
    <w:tmpl w:val="544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A6E06"/>
    <w:multiLevelType w:val="hybridMultilevel"/>
    <w:tmpl w:val="43A805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362E6"/>
    <w:multiLevelType w:val="hybridMultilevel"/>
    <w:tmpl w:val="98B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77"/>
    <w:rsid w:val="00003A1B"/>
    <w:rsid w:val="00012491"/>
    <w:rsid w:val="00025ACF"/>
    <w:rsid w:val="0002656F"/>
    <w:rsid w:val="00082B72"/>
    <w:rsid w:val="00106CE9"/>
    <w:rsid w:val="00115EAC"/>
    <w:rsid w:val="001346AB"/>
    <w:rsid w:val="00150BED"/>
    <w:rsid w:val="001B625A"/>
    <w:rsid w:val="001C1820"/>
    <w:rsid w:val="001F6445"/>
    <w:rsid w:val="00204F95"/>
    <w:rsid w:val="002262A9"/>
    <w:rsid w:val="0023345C"/>
    <w:rsid w:val="002631DF"/>
    <w:rsid w:val="002A2666"/>
    <w:rsid w:val="002B1E18"/>
    <w:rsid w:val="002D134D"/>
    <w:rsid w:val="002D6320"/>
    <w:rsid w:val="002F0FE7"/>
    <w:rsid w:val="002F5CB5"/>
    <w:rsid w:val="003868D8"/>
    <w:rsid w:val="003A7C8E"/>
    <w:rsid w:val="003D3CBB"/>
    <w:rsid w:val="0040523C"/>
    <w:rsid w:val="0042615B"/>
    <w:rsid w:val="00436FB4"/>
    <w:rsid w:val="00481E1E"/>
    <w:rsid w:val="004A7442"/>
    <w:rsid w:val="004B0995"/>
    <w:rsid w:val="00512074"/>
    <w:rsid w:val="00571C9E"/>
    <w:rsid w:val="00583CD6"/>
    <w:rsid w:val="005E5D5A"/>
    <w:rsid w:val="005F6AC0"/>
    <w:rsid w:val="00611C77"/>
    <w:rsid w:val="0061474F"/>
    <w:rsid w:val="00672F29"/>
    <w:rsid w:val="00687429"/>
    <w:rsid w:val="006A0CF4"/>
    <w:rsid w:val="006A2385"/>
    <w:rsid w:val="006D507A"/>
    <w:rsid w:val="006F0527"/>
    <w:rsid w:val="006F56DC"/>
    <w:rsid w:val="00706347"/>
    <w:rsid w:val="00721193"/>
    <w:rsid w:val="007755D1"/>
    <w:rsid w:val="007E78C4"/>
    <w:rsid w:val="007F16AA"/>
    <w:rsid w:val="00830C12"/>
    <w:rsid w:val="00840384"/>
    <w:rsid w:val="00865486"/>
    <w:rsid w:val="008957FD"/>
    <w:rsid w:val="008C3AD7"/>
    <w:rsid w:val="008D546B"/>
    <w:rsid w:val="00900254"/>
    <w:rsid w:val="00901FD5"/>
    <w:rsid w:val="0091252F"/>
    <w:rsid w:val="009156D9"/>
    <w:rsid w:val="00934E2D"/>
    <w:rsid w:val="00951292"/>
    <w:rsid w:val="00963A1D"/>
    <w:rsid w:val="00970554"/>
    <w:rsid w:val="009D4B97"/>
    <w:rsid w:val="00A02894"/>
    <w:rsid w:val="00A218F3"/>
    <w:rsid w:val="00A21FF1"/>
    <w:rsid w:val="00A557B6"/>
    <w:rsid w:val="00A609B8"/>
    <w:rsid w:val="00A92415"/>
    <w:rsid w:val="00AA3418"/>
    <w:rsid w:val="00AA7B7E"/>
    <w:rsid w:val="00AB26A9"/>
    <w:rsid w:val="00AC0316"/>
    <w:rsid w:val="00B337E8"/>
    <w:rsid w:val="00B42746"/>
    <w:rsid w:val="00B829EA"/>
    <w:rsid w:val="00BA56C2"/>
    <w:rsid w:val="00BE0C58"/>
    <w:rsid w:val="00BF1316"/>
    <w:rsid w:val="00C12977"/>
    <w:rsid w:val="00C2649A"/>
    <w:rsid w:val="00C27437"/>
    <w:rsid w:val="00C303D6"/>
    <w:rsid w:val="00C3317D"/>
    <w:rsid w:val="00C415FF"/>
    <w:rsid w:val="00C54E40"/>
    <w:rsid w:val="00C60C1B"/>
    <w:rsid w:val="00C760A2"/>
    <w:rsid w:val="00CD02DC"/>
    <w:rsid w:val="00CE0210"/>
    <w:rsid w:val="00CE7891"/>
    <w:rsid w:val="00D556B4"/>
    <w:rsid w:val="00D55B20"/>
    <w:rsid w:val="00D950B2"/>
    <w:rsid w:val="00DA1C86"/>
    <w:rsid w:val="00DE472E"/>
    <w:rsid w:val="00DF5C79"/>
    <w:rsid w:val="00E122C7"/>
    <w:rsid w:val="00E15A9C"/>
    <w:rsid w:val="00E31A67"/>
    <w:rsid w:val="00E47B99"/>
    <w:rsid w:val="00ED777C"/>
    <w:rsid w:val="00F16279"/>
    <w:rsid w:val="00F22409"/>
    <w:rsid w:val="00F47CBE"/>
    <w:rsid w:val="00F73063"/>
    <w:rsid w:val="00F82693"/>
    <w:rsid w:val="00F92BD1"/>
    <w:rsid w:val="00FA525A"/>
    <w:rsid w:val="00FA77A1"/>
    <w:rsid w:val="00FC0D19"/>
    <w:rsid w:val="00FE58A2"/>
    <w:rsid w:val="00FE6251"/>
    <w:rsid w:val="00FF54C0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D02DC"/>
    <w:pPr>
      <w:keepNext/>
      <w:spacing w:before="120" w:after="3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D02DC"/>
    <w:pPr>
      <w:keepNext/>
      <w:spacing w:before="360" w:after="240"/>
      <w:outlineLvl w:val="1"/>
    </w:pPr>
    <w:rPr>
      <w:rFonts w:ascii="Times New Roman" w:eastAsia="Times New Roman" w:hAnsi="Times New Roman"/>
      <w:b/>
      <w:bCs/>
      <w:i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72F29"/>
    <w:pPr>
      <w:spacing w:after="0" w:line="240" w:lineRule="auto"/>
    </w:pPr>
    <w:rPr>
      <w:sz w:val="20"/>
      <w:szCs w:val="20"/>
      <w:lang w:val="nb-NO"/>
    </w:rPr>
  </w:style>
  <w:style w:type="character" w:customStyle="1" w:styleId="a4">
    <w:name w:val="Текст сноски Знак"/>
    <w:link w:val="a3"/>
    <w:uiPriority w:val="99"/>
    <w:semiHidden/>
    <w:locked/>
    <w:rsid w:val="00672F29"/>
    <w:rPr>
      <w:rFonts w:ascii="Calibri" w:eastAsia="Times New Roman" w:hAnsi="Calibri" w:cs="Times New Roman"/>
      <w:sz w:val="20"/>
      <w:szCs w:val="20"/>
      <w:lang w:val="nb-NO"/>
    </w:rPr>
  </w:style>
  <w:style w:type="character" w:styleId="a5">
    <w:name w:val="footnote reference"/>
    <w:uiPriority w:val="99"/>
    <w:semiHidden/>
    <w:rsid w:val="00672F29"/>
    <w:rPr>
      <w:rFonts w:cs="Times New Roman"/>
      <w:vertAlign w:val="superscript"/>
    </w:rPr>
  </w:style>
  <w:style w:type="character" w:customStyle="1" w:styleId="apple-converted-space">
    <w:name w:val="apple-converted-space"/>
    <w:rsid w:val="007F16AA"/>
  </w:style>
  <w:style w:type="character" w:styleId="a6">
    <w:name w:val="Hyperlink"/>
    <w:uiPriority w:val="99"/>
    <w:semiHidden/>
    <w:unhideWhenUsed/>
    <w:rsid w:val="007F16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D02DC"/>
    <w:rPr>
      <w:rFonts w:ascii="Times New Roman" w:eastAsia="Times New Roman" w:hAnsi="Times New Roman"/>
      <w:b/>
      <w:bCs/>
      <w:kern w:val="32"/>
      <w:sz w:val="24"/>
      <w:szCs w:val="32"/>
      <w:u w:val="single"/>
      <w:lang w:val="en-GB"/>
    </w:rPr>
  </w:style>
  <w:style w:type="character" w:customStyle="1" w:styleId="20">
    <w:name w:val="Заголовок 2 Знак"/>
    <w:link w:val="2"/>
    <w:uiPriority w:val="9"/>
    <w:semiHidden/>
    <w:rsid w:val="00CD02DC"/>
    <w:rPr>
      <w:rFonts w:ascii="Times New Roman" w:eastAsia="Times New Roman" w:hAnsi="Times New Roman"/>
      <w:b/>
      <w:bCs/>
      <w:iCs/>
      <w:szCs w:val="28"/>
      <w:lang w:val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link w:val="a8"/>
    <w:uiPriority w:val="34"/>
    <w:qFormat/>
    <w:locked/>
    <w:rsid w:val="00CD02DC"/>
    <w:rPr>
      <w:rFonts w:ascii="Times New Roman" w:hAnsi="Times New Roman"/>
    </w:rPr>
  </w:style>
  <w:style w:type="paragraph" w:styleId="a8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7"/>
    <w:uiPriority w:val="34"/>
    <w:qFormat/>
    <w:rsid w:val="00CD02DC"/>
    <w:pPr>
      <w:spacing w:before="120" w:after="120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Props1.xml><?xml version="1.0" encoding="utf-8"?>
<ds:datastoreItem xmlns:ds="http://schemas.openxmlformats.org/officeDocument/2006/customXml" ds:itemID="{21F833E4-4CC3-4F46-928A-B88A1D4B666A}"/>
</file>

<file path=customXml/itemProps2.xml><?xml version="1.0" encoding="utf-8"?>
<ds:datastoreItem xmlns:ds="http://schemas.openxmlformats.org/officeDocument/2006/customXml" ds:itemID="{699B361F-8827-4EBF-BCBB-2CA39EA2AABC}"/>
</file>

<file path=customXml/itemProps3.xml><?xml version="1.0" encoding="utf-8"?>
<ds:datastoreItem xmlns:ds="http://schemas.openxmlformats.org/officeDocument/2006/customXml" ds:itemID="{EF7B9CE1-A795-40BC-A90B-600A760BB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1099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against delivery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3</cp:revision>
  <cp:lastPrinted>2014-05-07T00:41:00Z</cp:lastPrinted>
  <dcterms:created xsi:type="dcterms:W3CDTF">2016-11-02T11:36:00Z</dcterms:created>
  <dcterms:modified xsi:type="dcterms:W3CDTF">2016-11-02T11:37:00Z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