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F1" w:rsidRPr="00CF2197" w:rsidRDefault="005A13F0" w:rsidP="00CF2197">
      <w:pPr>
        <w:spacing w:after="160" w:line="259" w:lineRule="auto"/>
        <w:ind w:right="100"/>
        <w:jc w:val="center"/>
        <w:rPr>
          <w:rFonts w:ascii="Sylfaen" w:eastAsia="Sylfaen" w:hAnsi="Sylfaen"/>
          <w:b/>
          <w:color w:val="0D0D0D"/>
          <w:sz w:val="60"/>
          <w:szCs w:val="60"/>
        </w:rPr>
      </w:pPr>
      <w:r>
        <w:rPr>
          <w:rFonts w:ascii="Sylfaen" w:eastAsia="Sylfaen" w:hAnsi="Sylfaen"/>
          <w:b/>
          <w:color w:val="0D0D0D"/>
          <w:sz w:val="60"/>
          <w:szCs w:val="60"/>
        </w:rPr>
        <w:t>GEORGIA</w:t>
      </w:r>
    </w:p>
    <w:p w:rsidR="00F10EF1" w:rsidRDefault="005A13F0">
      <w:pPr>
        <w:spacing w:line="276" w:lineRule="auto"/>
        <w:ind w:left="180" w:right="270"/>
        <w:jc w:val="center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Statement by Mr. Irakli Jgenti,</w:t>
      </w:r>
    </w:p>
    <w:p w:rsidR="00F10EF1" w:rsidRDefault="005A13F0">
      <w:pPr>
        <w:spacing w:line="276" w:lineRule="auto"/>
        <w:ind w:left="180" w:right="270"/>
        <w:jc w:val="center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Deputy Permanent Representative</w:t>
      </w:r>
    </w:p>
    <w:p w:rsidR="00F10EF1" w:rsidRDefault="005A13F0">
      <w:pPr>
        <w:spacing w:line="276" w:lineRule="auto"/>
        <w:ind w:left="180" w:right="270"/>
        <w:jc w:val="center"/>
        <w:rPr>
          <w:rFonts w:ascii="Sylfaen" w:eastAsia="Arial" w:hAnsi="Arial"/>
          <w:b/>
          <w:color w:val="000000" w:themeColor="text1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T</w:t>
      </w:r>
      <w:r>
        <w:rPr>
          <w:rFonts w:ascii="Sylfaen" w:eastAsia="Arial" w:hAnsi="Arial"/>
          <w:b/>
          <w:color w:val="000000" w:themeColor="text1"/>
          <w:sz w:val="24"/>
          <w:szCs w:val="24"/>
        </w:rPr>
        <w:t>he 26</w:t>
      </w:r>
      <w:r>
        <w:rPr>
          <w:rFonts w:ascii="Sylfaen" w:eastAsia="Arial" w:hAnsi="Arial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Sylfaen" w:eastAsia="Arial" w:hAnsi="Arial"/>
          <w:b/>
          <w:color w:val="000000" w:themeColor="text1"/>
          <w:sz w:val="24"/>
          <w:szCs w:val="24"/>
        </w:rPr>
        <w:t xml:space="preserve"> Session of the UPR Working Group</w:t>
      </w:r>
    </w:p>
    <w:p w:rsidR="00F10EF1" w:rsidRDefault="005A13F0">
      <w:pPr>
        <w:spacing w:line="276" w:lineRule="auto"/>
        <w:ind w:left="180" w:right="270"/>
        <w:jc w:val="center"/>
        <w:rPr>
          <w:rFonts w:ascii="Sylfaen" w:eastAsia="Arial" w:hAnsi="Arial"/>
          <w:color w:val="000000" w:themeColor="text1"/>
          <w:sz w:val="24"/>
          <w:szCs w:val="24"/>
        </w:rPr>
      </w:pPr>
      <w:r>
        <w:rPr>
          <w:rFonts w:ascii="Sylfaen" w:eastAsia="Arial" w:hAnsi="Arial"/>
          <w:b/>
          <w:color w:val="000000" w:themeColor="text1"/>
          <w:sz w:val="24"/>
          <w:szCs w:val="24"/>
        </w:rPr>
        <w:t>UPR of Uganda</w:t>
      </w:r>
    </w:p>
    <w:p w:rsidR="00F10EF1" w:rsidRDefault="00F10EF1" w:rsidP="008E794B">
      <w:pPr>
        <w:spacing w:line="276" w:lineRule="auto"/>
        <w:ind w:right="270"/>
        <w:rPr>
          <w:rFonts w:ascii="Sylfaen" w:eastAsia="Arial" w:hAnsi="Arial"/>
          <w:color w:val="000000" w:themeColor="text1"/>
          <w:sz w:val="24"/>
          <w:szCs w:val="24"/>
        </w:rPr>
      </w:pPr>
    </w:p>
    <w:p w:rsidR="00F10EF1" w:rsidRDefault="005A13F0">
      <w:pPr>
        <w:spacing w:line="276" w:lineRule="auto"/>
        <w:ind w:left="180" w:right="270"/>
        <w:jc w:val="right"/>
        <w:rPr>
          <w:rFonts w:ascii="Sylfaen" w:eastAsia="Arial" w:hAnsi="Arial"/>
          <w:color w:val="000000" w:themeColor="text1"/>
          <w:sz w:val="24"/>
          <w:szCs w:val="24"/>
        </w:rPr>
      </w:pPr>
      <w:r>
        <w:rPr>
          <w:rFonts w:ascii="Sylfaen" w:eastAsia="Arial" w:hAnsi="Arial"/>
          <w:color w:val="000000" w:themeColor="text1"/>
          <w:sz w:val="24"/>
          <w:szCs w:val="24"/>
        </w:rPr>
        <w:t>Geneva, 3 November 2016</w:t>
      </w:r>
    </w:p>
    <w:p w:rsidR="00F10EF1" w:rsidRDefault="00F10EF1" w:rsidP="008E794B">
      <w:pPr>
        <w:ind w:right="180"/>
        <w:jc w:val="both"/>
        <w:rPr>
          <w:rFonts w:ascii="Sylfaen" w:eastAsia="Sylfaen" w:hAnsi="Sylfaen"/>
          <w:sz w:val="24"/>
          <w:szCs w:val="24"/>
        </w:rPr>
      </w:pPr>
    </w:p>
    <w:p w:rsidR="00F10EF1" w:rsidRDefault="005A13F0">
      <w:pPr>
        <w:spacing w:line="276" w:lineRule="auto"/>
        <w:ind w:left="360" w:right="180"/>
        <w:jc w:val="both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We warmly welcome the Delegation of Uganda and thank the Head of Delegation for the presentation of the national report.</w:t>
      </w:r>
    </w:p>
    <w:p w:rsidR="00F10EF1" w:rsidRDefault="00F10EF1">
      <w:pPr>
        <w:spacing w:line="276" w:lineRule="auto"/>
        <w:ind w:left="360" w:right="180"/>
        <w:jc w:val="both"/>
        <w:rPr>
          <w:rFonts w:ascii="Sylfaen" w:eastAsia="Sylfaen" w:hAnsi="Sylfaen"/>
          <w:sz w:val="24"/>
          <w:szCs w:val="24"/>
        </w:rPr>
      </w:pPr>
    </w:p>
    <w:p w:rsidR="005A13F0" w:rsidRDefault="00CA5E7B" w:rsidP="00CA5E7B">
      <w:pPr>
        <w:spacing w:line="276" w:lineRule="auto"/>
        <w:ind w:left="360" w:right="180"/>
        <w:jc w:val="both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 xml:space="preserve">Georgia welcomes the adoption and implementation </w:t>
      </w:r>
      <w:r w:rsidR="005A13F0">
        <w:rPr>
          <w:rFonts w:ascii="Sylfaen" w:eastAsia="Sylfaen" w:hAnsi="Sylfaen"/>
          <w:sz w:val="24"/>
          <w:szCs w:val="24"/>
        </w:rPr>
        <w:t xml:space="preserve">of </w:t>
      </w:r>
      <w:r w:rsidR="008E794B">
        <w:rPr>
          <w:rFonts w:ascii="Sylfaen" w:eastAsia="Sylfaen" w:hAnsi="Sylfaen"/>
          <w:sz w:val="24"/>
          <w:szCs w:val="24"/>
        </w:rPr>
        <w:t xml:space="preserve">various </w:t>
      </w:r>
      <w:r>
        <w:rPr>
          <w:rFonts w:ascii="Sylfaen" w:eastAsia="Sylfaen" w:hAnsi="Sylfaen"/>
          <w:sz w:val="24"/>
          <w:szCs w:val="24"/>
        </w:rPr>
        <w:t>policies and programs in order to strengthen the promotion and protection of human rights</w:t>
      </w:r>
      <w:r w:rsidR="005A13F0">
        <w:rPr>
          <w:rFonts w:ascii="Sylfaen" w:eastAsia="Sylfaen" w:hAnsi="Sylfaen"/>
          <w:sz w:val="24"/>
          <w:szCs w:val="24"/>
        </w:rPr>
        <w:t xml:space="preserve">. We </w:t>
      </w:r>
      <w:r>
        <w:rPr>
          <w:rFonts w:ascii="Sylfaen" w:eastAsia="Sylfaen" w:hAnsi="Sylfaen"/>
          <w:sz w:val="24"/>
          <w:szCs w:val="24"/>
        </w:rPr>
        <w:t xml:space="preserve">acknowledge </w:t>
      </w:r>
      <w:r w:rsidR="005A13F0">
        <w:rPr>
          <w:rFonts w:ascii="Sylfaen" w:eastAsia="Sylfaen" w:hAnsi="Sylfaen"/>
          <w:sz w:val="24"/>
          <w:szCs w:val="24"/>
        </w:rPr>
        <w:t>efforts aimed at improving human rights system in the countr</w:t>
      </w:r>
      <w:r>
        <w:rPr>
          <w:rFonts w:ascii="Sylfaen" w:eastAsia="Sylfaen" w:hAnsi="Sylfaen"/>
          <w:sz w:val="24"/>
          <w:szCs w:val="24"/>
        </w:rPr>
        <w:t>y and encourage the Government</w:t>
      </w:r>
      <w:r w:rsidR="005A13F0">
        <w:rPr>
          <w:rFonts w:ascii="Sylfaen" w:eastAsia="Sylfaen" w:hAnsi="Sylfaen"/>
          <w:sz w:val="24"/>
          <w:szCs w:val="24"/>
        </w:rPr>
        <w:t xml:space="preserve"> to further mainstream human rights issues at all levels.  </w:t>
      </w:r>
    </w:p>
    <w:p w:rsidR="00CA5E7B" w:rsidRDefault="00CA5E7B" w:rsidP="00CA5E7B">
      <w:pPr>
        <w:spacing w:line="276" w:lineRule="auto"/>
        <w:ind w:left="360" w:right="180"/>
        <w:jc w:val="both"/>
        <w:rPr>
          <w:rFonts w:ascii="Sylfaen" w:eastAsia="Sylfaen" w:hAnsi="Sylfaen"/>
          <w:sz w:val="24"/>
          <w:szCs w:val="24"/>
        </w:rPr>
      </w:pPr>
    </w:p>
    <w:p w:rsidR="00F10EF1" w:rsidRPr="00CA5E7B" w:rsidRDefault="005A13F0">
      <w:pPr>
        <w:spacing w:line="276" w:lineRule="auto"/>
        <w:ind w:left="360" w:right="180"/>
        <w:jc w:val="both"/>
        <w:rPr>
          <w:rFonts w:ascii="Sylfaen" w:eastAsia="Sylfaen" w:hAnsi="Sylfaen"/>
          <w:sz w:val="24"/>
          <w:szCs w:val="24"/>
        </w:rPr>
      </w:pPr>
      <w:r w:rsidRPr="00CA5E7B">
        <w:rPr>
          <w:rFonts w:ascii="Sylfaen" w:eastAsia="Sylfaen" w:hAnsi="Sylfaen"/>
          <w:sz w:val="24"/>
          <w:szCs w:val="24"/>
        </w:rPr>
        <w:t>Georgia notes with appreciation that the Government of Uganda developed the National Action Plan on Human Rights (2014)</w:t>
      </w:r>
      <w:r w:rsidR="00CA5E7B" w:rsidRPr="00CA5E7B">
        <w:rPr>
          <w:rFonts w:ascii="Sylfaen" w:eastAsia="Sylfaen" w:hAnsi="Sylfaen"/>
          <w:sz w:val="24"/>
          <w:szCs w:val="24"/>
        </w:rPr>
        <w:t xml:space="preserve"> </w:t>
      </w:r>
      <w:r w:rsidR="00CA5E7B" w:rsidRPr="00CA5E7B">
        <w:rPr>
          <w:rFonts w:ascii="Sylfaen" w:hAnsi="Sylfaen"/>
          <w:sz w:val="24"/>
          <w:szCs w:val="24"/>
        </w:rPr>
        <w:t>through a consultative, participatory and inclusive process</w:t>
      </w:r>
      <w:r w:rsidRPr="00CA5E7B">
        <w:rPr>
          <w:rFonts w:ascii="Sylfaen" w:eastAsia="Sylfaen" w:hAnsi="Sylfaen"/>
          <w:sz w:val="24"/>
          <w:szCs w:val="24"/>
        </w:rPr>
        <w:t xml:space="preserve">. </w:t>
      </w:r>
    </w:p>
    <w:p w:rsidR="00F10EF1" w:rsidRDefault="00F10EF1">
      <w:pPr>
        <w:spacing w:line="276" w:lineRule="auto"/>
        <w:ind w:right="180"/>
        <w:jc w:val="both"/>
        <w:rPr>
          <w:rFonts w:ascii="Sylfaen" w:eastAsia="Sylfaen" w:hAnsi="Sylfaen"/>
          <w:sz w:val="24"/>
          <w:szCs w:val="24"/>
        </w:rPr>
      </w:pPr>
    </w:p>
    <w:p w:rsidR="00F10EF1" w:rsidRDefault="005A13F0">
      <w:pPr>
        <w:spacing w:line="276" w:lineRule="auto"/>
        <w:ind w:left="360" w:right="180"/>
        <w:jc w:val="both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Georgia would like to recommend to the Government of Uganda:</w:t>
      </w:r>
    </w:p>
    <w:p w:rsidR="00F10EF1" w:rsidRDefault="00F10EF1">
      <w:pPr>
        <w:spacing w:line="276" w:lineRule="auto"/>
        <w:ind w:left="360" w:right="180"/>
        <w:jc w:val="both"/>
        <w:rPr>
          <w:rFonts w:ascii="Sylfaen" w:eastAsia="Sylfaen" w:hAnsi="Sylfaen"/>
          <w:sz w:val="24"/>
          <w:szCs w:val="24"/>
        </w:rPr>
      </w:pPr>
    </w:p>
    <w:p w:rsidR="00F10EF1" w:rsidRDefault="005A13F0">
      <w:pPr>
        <w:pStyle w:val="ListParagraph"/>
        <w:numPr>
          <w:ilvl w:val="0"/>
          <w:numId w:val="1"/>
        </w:numPr>
        <w:spacing w:line="276" w:lineRule="auto"/>
        <w:ind w:right="180"/>
        <w:contextualSpacing/>
        <w:jc w:val="both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 xml:space="preserve">To consider </w:t>
      </w:r>
      <w:r w:rsidR="00CA5E7B">
        <w:rPr>
          <w:rFonts w:ascii="Sylfaen" w:eastAsia="Sylfaen" w:hAnsi="Sylfaen"/>
          <w:sz w:val="24"/>
          <w:szCs w:val="24"/>
        </w:rPr>
        <w:t xml:space="preserve">the ratification of the OP-CAT, the </w:t>
      </w:r>
      <w:r>
        <w:rPr>
          <w:rFonts w:ascii="Sylfaen" w:eastAsia="Sylfaen" w:hAnsi="Sylfaen"/>
          <w:sz w:val="24"/>
          <w:szCs w:val="24"/>
        </w:rPr>
        <w:t>Optional Protocol to the CEDAW and the Second Optional Protocol to the ICCPR;</w:t>
      </w:r>
    </w:p>
    <w:p w:rsidR="00F10EF1" w:rsidRDefault="005A13F0">
      <w:pPr>
        <w:pStyle w:val="ListParagraph"/>
        <w:numPr>
          <w:ilvl w:val="0"/>
          <w:numId w:val="1"/>
        </w:numPr>
        <w:spacing w:line="276" w:lineRule="auto"/>
        <w:ind w:right="180"/>
        <w:contextualSpacing/>
        <w:jc w:val="both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To intensify efforts to combat all forms of violence against women and girls;</w:t>
      </w:r>
    </w:p>
    <w:p w:rsidR="00F10EF1" w:rsidRDefault="005A13F0">
      <w:pPr>
        <w:pStyle w:val="ListParagraph"/>
        <w:numPr>
          <w:ilvl w:val="0"/>
          <w:numId w:val="1"/>
        </w:numPr>
        <w:spacing w:line="276" w:lineRule="auto"/>
        <w:ind w:right="180"/>
        <w:contextualSpacing/>
        <w:jc w:val="both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 xml:space="preserve">To consider an extension of standing invitation to </w:t>
      </w:r>
      <w:r w:rsidR="008E794B">
        <w:rPr>
          <w:rFonts w:ascii="Sylfaen" w:eastAsia="Sylfaen" w:hAnsi="Sylfaen"/>
          <w:sz w:val="24"/>
          <w:szCs w:val="24"/>
        </w:rPr>
        <w:t>special procedures mandate holders</w:t>
      </w:r>
      <w:r>
        <w:rPr>
          <w:rFonts w:ascii="Sylfaen" w:eastAsia="Sylfaen" w:hAnsi="Sylfaen"/>
          <w:sz w:val="24"/>
          <w:szCs w:val="24"/>
        </w:rPr>
        <w:t>.</w:t>
      </w:r>
    </w:p>
    <w:p w:rsidR="00F10EF1" w:rsidRPr="00CA5E7B" w:rsidRDefault="00F10EF1" w:rsidP="00CA5E7B">
      <w:pPr>
        <w:spacing w:line="276" w:lineRule="auto"/>
        <w:ind w:right="180"/>
        <w:contextualSpacing/>
        <w:jc w:val="both"/>
        <w:rPr>
          <w:rFonts w:ascii="Sylfaen" w:eastAsia="Sylfaen" w:hAnsi="Sylfaen"/>
          <w:sz w:val="24"/>
          <w:szCs w:val="24"/>
        </w:rPr>
      </w:pPr>
    </w:p>
    <w:p w:rsidR="00F10EF1" w:rsidRDefault="005A13F0">
      <w:pPr>
        <w:pStyle w:val="ListParagraph"/>
        <w:spacing w:line="276" w:lineRule="auto"/>
        <w:ind w:left="360" w:right="180"/>
        <w:contextualSpacing/>
        <w:jc w:val="both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We wish the delegation of Uganda a successful UPR.</w:t>
      </w:r>
    </w:p>
    <w:p w:rsidR="00F10EF1" w:rsidRDefault="00F10EF1">
      <w:pPr>
        <w:spacing w:after="160" w:line="259" w:lineRule="auto"/>
        <w:rPr>
          <w:rFonts w:ascii="Sylfaen" w:eastAsia="Sylfaen" w:hAnsi="Sylfaen"/>
          <w:sz w:val="24"/>
          <w:szCs w:val="24"/>
        </w:rPr>
      </w:pPr>
    </w:p>
    <w:sectPr w:rsidR="00F1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9D8EA95"/>
    <w:lvl w:ilvl="0" w:tplc="4E3021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1D423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C64C3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55403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8E2CCE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682ECD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8E694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12408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98407F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hybridMultilevel"/>
    <w:tmpl w:val="173A026B"/>
    <w:lvl w:ilvl="0" w:tplc="F45E81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62C8B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74A17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372A5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30E23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47C98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D18BB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DFE34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7CEDC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101E17DB"/>
    <w:lvl w:ilvl="0" w:tplc="9F3A01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04C86B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BBE98A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D80B2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0C80BE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330402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59816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1EF4C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68EBC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  <w:lvl w:ilvl="0" w:tplc="4E30218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 w:tplc="31D42302">
        <w:start w:val="1"/>
        <w:numFmt w:val="decimal"/>
        <w:lvlText w:val=""/>
        <w:lvlJc w:val="left"/>
      </w:lvl>
    </w:lvlOverride>
    <w:lvlOverride w:ilvl="2">
      <w:startOverride w:val="1"/>
      <w:lvl w:ilvl="2" w:tplc="5C64C350">
        <w:start w:val="1"/>
        <w:numFmt w:val="decimal"/>
        <w:lvlText w:val=""/>
        <w:lvlJc w:val="left"/>
      </w:lvl>
    </w:lvlOverride>
    <w:lvlOverride w:ilvl="3">
      <w:startOverride w:val="1"/>
      <w:lvl w:ilvl="3" w:tplc="555403C6">
        <w:start w:val="1"/>
        <w:numFmt w:val="decimal"/>
        <w:lvlText w:val=""/>
        <w:lvlJc w:val="left"/>
      </w:lvl>
    </w:lvlOverride>
    <w:lvlOverride w:ilvl="4">
      <w:startOverride w:val="1"/>
      <w:lvl w:ilvl="4" w:tplc="28E2CCEA">
        <w:start w:val="1"/>
        <w:numFmt w:val="decimal"/>
        <w:lvlText w:val=""/>
        <w:lvlJc w:val="left"/>
      </w:lvl>
    </w:lvlOverride>
    <w:lvlOverride w:ilvl="5">
      <w:startOverride w:val="1"/>
      <w:lvl w:ilvl="5" w:tplc="C682ECDE">
        <w:start w:val="1"/>
        <w:numFmt w:val="decimal"/>
        <w:lvlText w:val=""/>
        <w:lvlJc w:val="left"/>
      </w:lvl>
    </w:lvlOverride>
    <w:lvlOverride w:ilvl="6">
      <w:startOverride w:val="1"/>
      <w:lvl w:ilvl="6" w:tplc="C8E694B0">
        <w:start w:val="1"/>
        <w:numFmt w:val="decimal"/>
        <w:lvlText w:val=""/>
        <w:lvlJc w:val="left"/>
      </w:lvl>
    </w:lvlOverride>
    <w:lvlOverride w:ilvl="7">
      <w:startOverride w:val="1"/>
      <w:lvl w:ilvl="7" w:tplc="8A124080">
        <w:start w:val="1"/>
        <w:numFmt w:val="decimal"/>
        <w:lvlText w:val=""/>
        <w:lvlJc w:val="left"/>
      </w:lvl>
    </w:lvlOverride>
    <w:lvlOverride w:ilvl="8">
      <w:startOverride w:val="1"/>
      <w:lvl w:ilvl="8" w:tplc="F98407F4">
        <w:start w:val="1"/>
        <w:numFmt w:val="decimal"/>
        <w:lvlText w:val="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F1"/>
    <w:rsid w:val="005A13F0"/>
    <w:rsid w:val="008E794B"/>
    <w:rsid w:val="009A1ED5"/>
    <w:rsid w:val="00CA5E7B"/>
    <w:rsid w:val="00CF2197"/>
    <w:rsid w:val="00F10EF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470A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43210-EAE6-4BDC-9BC6-3E789E9DC651}"/>
</file>

<file path=customXml/itemProps2.xml><?xml version="1.0" encoding="utf-8"?>
<ds:datastoreItem xmlns:ds="http://schemas.openxmlformats.org/officeDocument/2006/customXml" ds:itemID="{FB8F1931-52CB-4014-9068-04D8154B9D73}"/>
</file>

<file path=customXml/itemProps3.xml><?xml version="1.0" encoding="utf-8"?>
<ds:datastoreItem xmlns:ds="http://schemas.openxmlformats.org/officeDocument/2006/customXml" ds:itemID="{A366DBA9-BA6C-426B-89EB-AFE1D95160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Macintosh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ssupatashvili</dc:creator>
  <cp:lastModifiedBy>Shalva Tsiskarashvili</cp:lastModifiedBy>
  <cp:revision>3</cp:revision>
  <dcterms:created xsi:type="dcterms:W3CDTF">2016-11-03T06:30:00Z</dcterms:created>
  <dcterms:modified xsi:type="dcterms:W3CDTF">2016-11-03T06:30:00Z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