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1" w:rsidRPr="0086701B" w:rsidRDefault="00A84C6E" w:rsidP="00854C91">
      <w:pPr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03611231" wp14:editId="3E039AD2">
            <wp:simplePos x="0" y="0"/>
            <wp:positionH relativeFrom="column">
              <wp:posOffset>2659380</wp:posOffset>
            </wp:positionH>
            <wp:positionV relativeFrom="line">
              <wp:posOffset>-62673</wp:posOffset>
            </wp:positionV>
            <wp:extent cx="791845" cy="889000"/>
            <wp:effectExtent l="0" t="0" r="0" b="0"/>
            <wp:wrapNone/>
            <wp:docPr id="1073741825" name="officeArt object" descr="C:\My Docs\gerb-a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C:\My Docs\gerb-az.gif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</w:t>
      </w:r>
      <w:r w:rsidR="00854C91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B574CE5" wp14:editId="4F2DC88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Azərbaycan</w:t>
      </w:r>
      <w:proofErr w:type="spellEnd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Respublikasının</w:t>
      </w:r>
      <w:proofErr w:type="spellEnd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</w:t>
      </w:r>
      <w:r w:rsidR="00854C91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</w:t>
      </w:r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Permanent Mission</w:t>
      </w:r>
    </w:p>
    <w:p w:rsidR="00854C91" w:rsidRPr="0086701B" w:rsidRDefault="00854C91" w:rsidP="00854C91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854C91" w:rsidRPr="0086701B" w:rsidRDefault="00854C91" w:rsidP="00854C91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854C91" w:rsidRPr="0086701B" w:rsidRDefault="00854C91" w:rsidP="00854C91">
      <w:pPr>
        <w:tabs>
          <w:tab w:val="left" w:pos="4820"/>
        </w:tabs>
        <w:ind w:left="-284" w:right="-427"/>
        <w:outlineLvl w:val="0"/>
        <w:rPr>
          <w:rFonts w:eastAsia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854C91" w:rsidRPr="0086701B" w:rsidRDefault="00854C91" w:rsidP="00854C91">
      <w:pPr>
        <w:tabs>
          <w:tab w:val="left" w:pos="5387"/>
        </w:tabs>
        <w:jc w:val="center"/>
        <w:rPr>
          <w:rFonts w:eastAsia="Times New Roman"/>
          <w:b/>
          <w:sz w:val="14"/>
          <w:szCs w:val="14"/>
          <w:lang w:val="it-IT" w:eastAsia="ru-RU"/>
        </w:rPr>
      </w:pPr>
    </w:p>
    <w:p w:rsidR="00854C91" w:rsidRPr="0086701B" w:rsidRDefault="00854C91" w:rsidP="00854C91">
      <w:pPr>
        <w:tabs>
          <w:tab w:val="left" w:pos="5387"/>
        </w:tabs>
        <w:ind w:left="-284" w:right="-568" w:hanging="283"/>
        <w:jc w:val="center"/>
        <w:rPr>
          <w:rFonts w:eastAsia="Times New Roman"/>
          <w:b/>
          <w:sz w:val="14"/>
          <w:szCs w:val="14"/>
          <w:lang w:val="it-IT" w:eastAsia="ru-RU"/>
        </w:rPr>
      </w:pPr>
      <w:r>
        <w:rPr>
          <w:rFonts w:eastAsia="Times New Roman"/>
          <w:b/>
          <w:sz w:val="14"/>
          <w:szCs w:val="14"/>
          <w:lang w:val="it-IT" w:eastAsia="ru-RU"/>
        </w:rPr>
        <w:t xml:space="preserve">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Web: www.geneva.mfa.gov.az</w:t>
      </w:r>
    </w:p>
    <w:p w:rsidR="00854C91" w:rsidRDefault="00854C91" w:rsidP="00854C91">
      <w:pPr>
        <w:rPr>
          <w:rFonts w:eastAsia="Times New Roman"/>
          <w:lang w:val="it-IT" w:eastAsia="ru-RU"/>
        </w:rPr>
      </w:pPr>
    </w:p>
    <w:p w:rsidR="00854C91" w:rsidRPr="00854C91" w:rsidRDefault="00854C91" w:rsidP="00854C91">
      <w:pPr>
        <w:rPr>
          <w:rFonts w:eastAsia="Times New Roman"/>
          <w:lang w:val="it-IT" w:eastAsia="ru-RU"/>
        </w:rPr>
      </w:pPr>
    </w:p>
    <w:p w:rsidR="00854C91" w:rsidRDefault="00854C91" w:rsidP="00854C91">
      <w:pPr>
        <w:ind w:left="5664" w:right="-427"/>
        <w:rPr>
          <w:i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Pr="00854C91">
        <w:rPr>
          <w:i/>
          <w:lang w:val="fr-FR"/>
        </w:rPr>
        <w:t xml:space="preserve">              </w:t>
      </w:r>
      <w:r>
        <w:rPr>
          <w:i/>
          <w:lang w:val="fr-FR"/>
        </w:rPr>
        <w:t xml:space="preserve">  </w:t>
      </w:r>
      <w:r w:rsidRPr="00780ED8">
        <w:rPr>
          <w:i/>
          <w:u w:val="single"/>
          <w:lang w:val="en-GB"/>
        </w:rPr>
        <w:t>Check against delivery</w:t>
      </w:r>
    </w:p>
    <w:p w:rsidR="00854C91" w:rsidRPr="00780ED8" w:rsidRDefault="00854C91" w:rsidP="00854C91">
      <w:pPr>
        <w:ind w:left="5664" w:right="-427"/>
        <w:rPr>
          <w:b/>
          <w:i/>
          <w:u w:val="single"/>
          <w:lang w:val="en-GB"/>
        </w:rPr>
      </w:pPr>
    </w:p>
    <w:p w:rsidR="00C74B80" w:rsidRDefault="00A84C6E" w:rsidP="00854C91">
      <w:pPr>
        <w:pStyle w:val="Body"/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Statement</w:t>
      </w:r>
    </w:p>
    <w:p w:rsidR="00C74B80" w:rsidRDefault="00C74B80">
      <w:pPr>
        <w:pStyle w:val="Body"/>
        <w:jc w:val="center"/>
        <w:rPr>
          <w:b/>
          <w:bCs/>
          <w:sz w:val="20"/>
          <w:szCs w:val="20"/>
          <w:lang w:val="en-US"/>
        </w:rPr>
      </w:pPr>
    </w:p>
    <w:p w:rsidR="00C74B80" w:rsidRDefault="00A84C6E">
      <w:pPr>
        <w:pStyle w:val="Body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26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session of the UPR Working Group</w:t>
      </w:r>
    </w:p>
    <w:p w:rsidR="00C74B80" w:rsidRDefault="00A84C6E">
      <w:pPr>
        <w:pStyle w:val="Body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UPR of the Republic of Moldova</w:t>
      </w:r>
    </w:p>
    <w:p w:rsidR="00C74B80" w:rsidRDefault="00A84C6E">
      <w:pPr>
        <w:pStyle w:val="Body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4 November 2016</w:t>
      </w:r>
    </w:p>
    <w:p w:rsidR="00C74B80" w:rsidRDefault="00C74B80">
      <w:pPr>
        <w:pStyle w:val="Body"/>
        <w:rPr>
          <w:lang w:val="en-US"/>
        </w:rPr>
      </w:pPr>
    </w:p>
    <w:p w:rsidR="00C74B80" w:rsidRDefault="00C74B80">
      <w:pPr>
        <w:pStyle w:val="Body"/>
        <w:rPr>
          <w:lang w:val="en-US"/>
        </w:rPr>
      </w:pPr>
    </w:p>
    <w:p w:rsidR="00C74B80" w:rsidRDefault="00A84C6E">
      <w:pPr>
        <w:pStyle w:val="Body"/>
        <w:rPr>
          <w:lang w:val="en-US"/>
        </w:rPr>
      </w:pPr>
      <w:r>
        <w:rPr>
          <w:lang w:val="en-US"/>
        </w:rPr>
        <w:t xml:space="preserve">Mr. </w:t>
      </w:r>
      <w:r w:rsidR="00E43552">
        <w:rPr>
          <w:lang w:val="en-US"/>
        </w:rPr>
        <w:t xml:space="preserve">Vice </w:t>
      </w:r>
      <w:r>
        <w:rPr>
          <w:lang w:val="en-US"/>
        </w:rPr>
        <w:t>President,</w:t>
      </w:r>
    </w:p>
    <w:p w:rsidR="00C74B80" w:rsidRDefault="00C74B80">
      <w:pPr>
        <w:pStyle w:val="Body"/>
        <w:rPr>
          <w:lang w:val="en-US"/>
        </w:rPr>
      </w:pPr>
    </w:p>
    <w:p w:rsidR="00C74B80" w:rsidRDefault="00A84C6E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Azerbaijan warmly welcomes the delegation of the Republic of Moldova to the 26th session of the UPR Working Group and thanks for the comprehensive presentation.</w:t>
      </w:r>
    </w:p>
    <w:p w:rsidR="00C74B80" w:rsidRDefault="00C74B8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80" w:rsidRDefault="00A84C6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Azerbaijan welcomes the national report on the follow-up of the accepted </w:t>
      </w:r>
      <w:r w:rsidR="000E5EB1">
        <w:rPr>
          <w:lang w:val="en-US"/>
        </w:rPr>
        <w:t xml:space="preserve">             </w:t>
      </w:r>
      <w:r>
        <w:rPr>
          <w:lang w:val="en-US"/>
        </w:rPr>
        <w:t>recommendations which clearly indicates the achievements of the country in the field of promotion and protection of human r</w:t>
      </w:r>
      <w:r w:rsidR="00E43552">
        <w:rPr>
          <w:lang w:val="en-US"/>
        </w:rPr>
        <w:t>ights</w:t>
      </w:r>
      <w:r w:rsidR="004A20DD">
        <w:rPr>
          <w:lang w:val="en-US"/>
        </w:rPr>
        <w:t xml:space="preserve"> since its first UPR</w:t>
      </w:r>
      <w:r>
        <w:rPr>
          <w:lang w:val="en-US"/>
        </w:rPr>
        <w:t>.</w:t>
      </w:r>
    </w:p>
    <w:p w:rsidR="00C74B80" w:rsidRDefault="00C74B8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</w:p>
    <w:p w:rsidR="00C74B80" w:rsidRDefault="00A84C6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Azerbaijan notes with appreciation that the Republic of</w:t>
      </w:r>
      <w:r w:rsidR="00D05A36">
        <w:rPr>
          <w:rFonts w:ascii="Times New Roman"/>
          <w:sz w:val="28"/>
          <w:szCs w:val="28"/>
        </w:rPr>
        <w:t xml:space="preserve"> Moldova became a party to the </w:t>
      </w:r>
      <w:r>
        <w:rPr>
          <w:rFonts w:ascii="Times New Roman"/>
          <w:sz w:val="28"/>
          <w:szCs w:val="28"/>
        </w:rPr>
        <w:t>Convention relating to the Status of Stateless Persons and the Convention on the Reduction of St</w:t>
      </w:r>
      <w:r w:rsidR="004A20DD">
        <w:rPr>
          <w:rFonts w:ascii="Times New Roman"/>
          <w:sz w:val="28"/>
          <w:szCs w:val="28"/>
        </w:rPr>
        <w:t>atelessness</w:t>
      </w:r>
      <w:r>
        <w:rPr>
          <w:rFonts w:ascii="Times New Roman"/>
          <w:sz w:val="28"/>
          <w:szCs w:val="28"/>
        </w:rPr>
        <w:t xml:space="preserve">. </w:t>
      </w:r>
      <w:r w:rsidR="004A20DD">
        <w:rPr>
          <w:rFonts w:ascii="Times New Roman"/>
          <w:sz w:val="28"/>
          <w:szCs w:val="28"/>
        </w:rPr>
        <w:t>At the same time, w</w:t>
      </w:r>
      <w:r>
        <w:rPr>
          <w:rFonts w:ascii="Times New Roman"/>
          <w:sz w:val="28"/>
          <w:szCs w:val="28"/>
        </w:rPr>
        <w:t xml:space="preserve">e </w:t>
      </w:r>
      <w:r w:rsidRPr="00D05A36">
        <w:rPr>
          <w:rFonts w:ascii="Times New Roman"/>
          <w:b/>
          <w:sz w:val="28"/>
          <w:szCs w:val="28"/>
          <w:u w:val="single"/>
        </w:rPr>
        <w:t>recommend</w:t>
      </w:r>
      <w:r>
        <w:rPr>
          <w:rFonts w:ascii="Times New Roman"/>
          <w:sz w:val="28"/>
          <w:szCs w:val="28"/>
        </w:rPr>
        <w:t xml:space="preserve"> the Republic of </w:t>
      </w:r>
      <w:r w:rsidR="000E5EB1"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</w:rPr>
        <w:t>Moldova to continue its accession to the core international human rights instruments.</w:t>
      </w:r>
    </w:p>
    <w:p w:rsidR="00C74B80" w:rsidRDefault="00C74B80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B80" w:rsidRDefault="00A84C6E">
      <w:pPr>
        <w:pStyle w:val="Body"/>
        <w:jc w:val="both"/>
        <w:rPr>
          <w:lang w:val="en-US"/>
        </w:rPr>
      </w:pPr>
      <w:r>
        <w:rPr>
          <w:lang w:val="en-US"/>
        </w:rPr>
        <w:t xml:space="preserve">Azerbaijan commends the establishment of the Council on the Prevention and </w:t>
      </w:r>
      <w:r w:rsidR="000E5EB1">
        <w:rPr>
          <w:lang w:val="en-US"/>
        </w:rPr>
        <w:t xml:space="preserve">    </w:t>
      </w:r>
      <w:r>
        <w:rPr>
          <w:lang w:val="en-US"/>
        </w:rPr>
        <w:t xml:space="preserve">Elimination of Discrimination and Ensuring Equality (the Council) aiming at </w:t>
      </w:r>
      <w:r w:rsidR="000E5EB1">
        <w:rPr>
          <w:lang w:val="en-US"/>
        </w:rPr>
        <w:t xml:space="preserve">          </w:t>
      </w:r>
      <w:r>
        <w:rPr>
          <w:lang w:val="en-US"/>
        </w:rPr>
        <w:t xml:space="preserve">ensuring the protection against discrimination and equality of all persons who </w:t>
      </w:r>
      <w:r w:rsidR="000E5EB1">
        <w:rPr>
          <w:lang w:val="en-US"/>
        </w:rPr>
        <w:t xml:space="preserve">      </w:t>
      </w:r>
      <w:r>
        <w:rPr>
          <w:lang w:val="en-US"/>
        </w:rPr>
        <w:t xml:space="preserve">consider themselves victims of discrimination. We </w:t>
      </w:r>
      <w:r w:rsidRPr="00D05A36">
        <w:rPr>
          <w:b/>
          <w:u w:val="single"/>
          <w:lang w:val="en-US"/>
        </w:rPr>
        <w:t>recommend</w:t>
      </w:r>
      <w:r>
        <w:rPr>
          <w:lang w:val="en-US"/>
        </w:rPr>
        <w:t xml:space="preserve"> the Republic of Moldova to consolidate the normative framework that regulates the activity and </w:t>
      </w:r>
      <w:r w:rsidR="000E5EB1">
        <w:rPr>
          <w:lang w:val="en-US"/>
        </w:rPr>
        <w:t xml:space="preserve">  </w:t>
      </w:r>
      <w:r>
        <w:rPr>
          <w:lang w:val="en-US"/>
        </w:rPr>
        <w:t xml:space="preserve">competences of the Council. </w:t>
      </w:r>
    </w:p>
    <w:p w:rsidR="00C74B80" w:rsidRDefault="00C74B80">
      <w:pPr>
        <w:pStyle w:val="Body"/>
        <w:jc w:val="both"/>
        <w:rPr>
          <w:lang w:val="en-US"/>
        </w:rPr>
      </w:pPr>
    </w:p>
    <w:p w:rsidR="00C74B80" w:rsidRDefault="00A84C6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We are of the view that the national priorities and initiatives reflected in the national report will further pave the way to overcome the challenges remaining in the </w:t>
      </w:r>
      <w:r w:rsidR="000E5EB1">
        <w:rPr>
          <w:lang w:val="en-US"/>
        </w:rPr>
        <w:t xml:space="preserve">       </w:t>
      </w:r>
      <w:r>
        <w:rPr>
          <w:lang w:val="en-US"/>
        </w:rPr>
        <w:t>promotion and protection of human rights in the country.</w:t>
      </w:r>
    </w:p>
    <w:p w:rsidR="00C74B80" w:rsidRDefault="00C74B80">
      <w:pPr>
        <w:pStyle w:val="Body"/>
        <w:jc w:val="both"/>
      </w:pPr>
    </w:p>
    <w:p w:rsidR="00C74B80" w:rsidRDefault="00A84C6E">
      <w:pPr>
        <w:pStyle w:val="Body"/>
        <w:jc w:val="both"/>
        <w:rPr>
          <w:lang w:val="en-US"/>
        </w:rPr>
      </w:pPr>
      <w:r>
        <w:rPr>
          <w:lang w:val="en-US"/>
        </w:rPr>
        <w:t>At the end, we wish the delegation of the Republic of Moldo</w:t>
      </w:r>
      <w:r w:rsidR="00D05A36">
        <w:rPr>
          <w:lang w:val="en-US"/>
        </w:rPr>
        <w:t xml:space="preserve">va a very successful </w:t>
      </w:r>
      <w:r w:rsidR="000E5EB1">
        <w:rPr>
          <w:lang w:val="en-US"/>
        </w:rPr>
        <w:t xml:space="preserve">    </w:t>
      </w:r>
      <w:bookmarkStart w:id="0" w:name="_GoBack"/>
      <w:bookmarkEnd w:id="0"/>
      <w:r w:rsidR="00D05A36">
        <w:rPr>
          <w:lang w:val="en-US"/>
        </w:rPr>
        <w:t>r</w:t>
      </w:r>
      <w:r w:rsidR="00D05A36">
        <w:rPr>
          <w:lang w:val="en-US"/>
        </w:rPr>
        <w:t>e</w:t>
      </w:r>
      <w:r w:rsidR="00D05A36">
        <w:rPr>
          <w:lang w:val="en-US"/>
        </w:rPr>
        <w:t>view</w:t>
      </w:r>
      <w:r>
        <w:rPr>
          <w:lang w:val="en-US"/>
        </w:rPr>
        <w:t>.</w:t>
      </w:r>
    </w:p>
    <w:p w:rsidR="00A557D5" w:rsidRDefault="00A557D5">
      <w:pPr>
        <w:pStyle w:val="Body"/>
        <w:jc w:val="both"/>
        <w:rPr>
          <w:lang w:val="en-US"/>
        </w:rPr>
      </w:pPr>
    </w:p>
    <w:p w:rsidR="00C74B80" w:rsidRDefault="00A84C6E">
      <w:pPr>
        <w:pStyle w:val="Body"/>
        <w:jc w:val="both"/>
        <w:rPr>
          <w:lang w:val="en-US"/>
        </w:rPr>
      </w:pPr>
      <w:r>
        <w:rPr>
          <w:lang w:val="en-US"/>
        </w:rPr>
        <w:t xml:space="preserve">Thank you, Mr. </w:t>
      </w:r>
      <w:r w:rsidR="00E43552">
        <w:rPr>
          <w:lang w:val="en-US"/>
        </w:rPr>
        <w:t xml:space="preserve">Vice </w:t>
      </w:r>
      <w:r>
        <w:rPr>
          <w:lang w:val="en-US"/>
        </w:rPr>
        <w:t>President.</w:t>
      </w:r>
    </w:p>
    <w:p w:rsidR="00C74B80" w:rsidRDefault="00C74B80">
      <w:pPr>
        <w:pStyle w:val="Body"/>
        <w:jc w:val="both"/>
      </w:pPr>
    </w:p>
    <w:sectPr w:rsidR="00C74B80" w:rsidSect="00854C9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2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02" w:rsidRDefault="00A84C6E">
      <w:r>
        <w:separator/>
      </w:r>
    </w:p>
  </w:endnote>
  <w:endnote w:type="continuationSeparator" w:id="0">
    <w:p w:rsidR="00B30202" w:rsidRDefault="00A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02" w:rsidRDefault="00A84C6E">
      <w:r>
        <w:separator/>
      </w:r>
    </w:p>
  </w:footnote>
  <w:footnote w:type="continuationSeparator" w:id="0">
    <w:p w:rsidR="00B30202" w:rsidRDefault="00A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A84C6E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4C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4B80"/>
    <w:rsid w:val="000E5EB1"/>
    <w:rsid w:val="004A20DD"/>
    <w:rsid w:val="00854C91"/>
    <w:rsid w:val="00A557D5"/>
    <w:rsid w:val="00A84C6E"/>
    <w:rsid w:val="00B30202"/>
    <w:rsid w:val="00B60197"/>
    <w:rsid w:val="00BB4DB8"/>
    <w:rsid w:val="00C74B80"/>
    <w:rsid w:val="00D05A36"/>
    <w:rsid w:val="00E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8"/>
      <w:szCs w:val="28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4C9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8"/>
      <w:szCs w:val="28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4C9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F977BE30-E4C4-4B32-961C-53305DD4EC5C}"/>
</file>

<file path=customXml/itemProps2.xml><?xml version="1.0" encoding="utf-8"?>
<ds:datastoreItem xmlns:ds="http://schemas.openxmlformats.org/officeDocument/2006/customXml" ds:itemID="{04115694-9CEC-4DD1-BF04-579A240A0FD3}"/>
</file>

<file path=customXml/itemProps3.xml><?xml version="1.0" encoding="utf-8"?>
<ds:datastoreItem xmlns:ds="http://schemas.openxmlformats.org/officeDocument/2006/customXml" ds:itemID="{EDF6A5B1-0766-473B-8E6E-307B642F3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creator>Elchin</dc:creator>
  <cp:lastModifiedBy>Elçin Quliyev</cp:lastModifiedBy>
  <cp:revision>8</cp:revision>
  <dcterms:created xsi:type="dcterms:W3CDTF">2016-11-11T09:15:00Z</dcterms:created>
  <dcterms:modified xsi:type="dcterms:W3CDTF">2016-11-11T09:35:00Z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