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amp; Footer A"/>
        <w:tabs>
          <w:tab w:val="center" w:pos="4819"/>
          <w:tab w:val="right" w:pos="9386"/>
          <w:tab w:val="clear" w:pos="9020"/>
        </w:tabs>
        <w:jc w:val="center"/>
        <w:rPr>
          <w:rFonts w:ascii="Georgia Bold" w:cs="Georgia Bold" w:hAnsi="Georgia Bold" w:eastAsia="Georgia Bold"/>
          <w:smallCaps w:val="1"/>
        </w:rPr>
      </w:pPr>
      <w:r>
        <w:rPr>
          <w:rFonts w:ascii="Georgia Bold"/>
          <w:smallCaps w:val="1"/>
          <w:rtl w:val="0"/>
          <w:lang w:val="en-US"/>
        </w:rPr>
        <w:t>Human Rights Council</w:t>
      </w:r>
    </w:p>
    <w:p>
      <w:pPr>
        <w:pStyle w:val="Header &amp; Footer A"/>
        <w:tabs>
          <w:tab w:val="center" w:pos="4819"/>
          <w:tab w:val="right" w:pos="9386"/>
          <w:tab w:val="clear" w:pos="9020"/>
        </w:tabs>
        <w:jc w:val="center"/>
        <w:rPr>
          <w:rFonts w:ascii="Georgia Bold" w:cs="Georgia Bold" w:hAnsi="Georgia Bold" w:eastAsia="Georgia Bold"/>
          <w:smallCaps w:val="1"/>
          <w:u w:val="single"/>
        </w:rPr>
      </w:pPr>
      <w:r>
        <w:rPr>
          <w:rFonts w:ascii="Georgia Bold"/>
          <w:smallCaps w:val="1"/>
          <w:u w:val="single"/>
          <w:rtl w:val="0"/>
          <w:lang w:val="en-US"/>
        </w:rPr>
        <w:t>26</w:t>
      </w:r>
      <w:r>
        <w:rPr>
          <w:rFonts w:ascii="Georgia Bold"/>
          <w:smallCaps w:val="1"/>
          <w:u w:val="single"/>
          <w:vertAlign w:val="superscript"/>
          <w:rtl w:val="0"/>
          <w:lang w:val="en-US"/>
        </w:rPr>
        <w:t>TH</w:t>
      </w:r>
      <w:r>
        <w:rPr>
          <w:rFonts w:ascii="Georgia Bold"/>
          <w:smallCaps w:val="1"/>
          <w:u w:val="single"/>
          <w:rtl w:val="0"/>
          <w:lang w:val="en-US"/>
        </w:rPr>
        <w:t xml:space="preserve"> Session of the UPR Working Group</w:t>
      </w:r>
    </w:p>
    <w:p>
      <w:pPr>
        <w:pStyle w:val="Header &amp; Footer A"/>
        <w:tabs>
          <w:tab w:val="center" w:pos="4819"/>
          <w:tab w:val="right" w:pos="9386"/>
          <w:tab w:val="clear" w:pos="9020"/>
        </w:tabs>
        <w:jc w:val="center"/>
        <w:rPr>
          <w:rFonts w:ascii="Georgia Bold" w:cs="Georgia Bold" w:hAnsi="Georgia Bold" w:eastAsia="Georgia Bold"/>
        </w:rPr>
      </w:pP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 xml:space="preserve">Statement by </w:t>
      </w: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Miss Cherryl Gordon, Charg</w:t>
      </w:r>
      <w:r>
        <w:rPr>
          <w:rFonts w:hAnsi="Georgia Bold" w:hint="default"/>
          <w:rtl w:val="0"/>
          <w:lang w:val="en-US"/>
        </w:rPr>
        <w:t xml:space="preserve">é </w:t>
      </w:r>
      <w:r>
        <w:rPr>
          <w:rFonts w:ascii="Georgia Bold"/>
          <w:rtl w:val="0"/>
          <w:lang w:val="en-US"/>
        </w:rPr>
        <w:t>d</w:t>
      </w:r>
      <w:r>
        <w:rPr>
          <w:rFonts w:hAnsi="Georgia Bold" w:hint="default"/>
          <w:rtl w:val="0"/>
          <w:lang w:val="en-US"/>
        </w:rPr>
        <w:t xml:space="preserve">’ </w:t>
      </w:r>
      <w:r>
        <w:rPr>
          <w:rFonts w:ascii="Georgia Bold"/>
          <w:rtl w:val="0"/>
          <w:lang w:val="en-US"/>
        </w:rPr>
        <w:t>Affaires, a.i.,</w:t>
      </w: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 xml:space="preserve">Permanent Mission of Jamaica </w:t>
      </w: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to the</w:t>
      </w: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 xml:space="preserve">Universal Periodic Review of </w:t>
      </w: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 xml:space="preserve"> HAITI</w:t>
      </w:r>
    </w:p>
    <w:p>
      <w:pPr>
        <w:pStyle w:val="Header &amp; Footer A"/>
        <w:tabs>
          <w:tab w:val="center" w:pos="4819"/>
          <w:tab w:val="right" w:pos="9386"/>
          <w:tab w:val="clear" w:pos="9020"/>
        </w:tabs>
        <w:jc w:val="center"/>
        <w:rPr>
          <w:rFonts w:ascii="Georgia Bold" w:cs="Georgia Bold" w:hAnsi="Georgia Bold" w:eastAsia="Georgia Bold"/>
        </w:rPr>
      </w:pPr>
    </w:p>
    <w:p>
      <w:pPr>
        <w:pStyle w:val="Header &amp; Footer A"/>
        <w:tabs>
          <w:tab w:val="center" w:pos="4819"/>
          <w:tab w:val="right" w:pos="9386"/>
          <w:tab w:val="clear" w:pos="9020"/>
        </w:tabs>
        <w:jc w:val="center"/>
        <w:rPr>
          <w:rFonts w:ascii="Georgia Bold" w:cs="Georgia Bold" w:hAnsi="Georgia Bold" w:eastAsia="Georgia Bold"/>
        </w:rPr>
      </w:pPr>
      <w:r>
        <w:rPr>
          <w:rFonts w:ascii="Georgia Bold"/>
          <w:rtl w:val="0"/>
          <w:lang w:val="en-US"/>
        </w:rPr>
        <w:t>Geneva, 7</w:t>
      </w:r>
      <w:r>
        <w:rPr>
          <w:rFonts w:ascii="Georgia Bold"/>
          <w:vertAlign w:val="superscript"/>
          <w:rtl w:val="0"/>
          <w:lang w:val="en-US"/>
        </w:rPr>
        <w:t>th</w:t>
      </w:r>
      <w:r>
        <w:rPr>
          <w:rFonts w:ascii="Georgia Bold"/>
          <w:rtl w:val="0"/>
          <w:lang w:val="en-US"/>
        </w:rPr>
        <w:t xml:space="preserve"> November, 2016</w:t>
      </w:r>
    </w:p>
    <w:p>
      <w:pPr>
        <w:pStyle w:val="Normal"/>
        <w:rPr>
          <w:rtl w:val="0"/>
        </w:rPr>
      </w:pPr>
    </w:p>
    <w:p>
      <w:pPr>
        <w:pStyle w:val="Normal"/>
        <w:rPr>
          <w:rtl w:val="0"/>
        </w:rPr>
      </w:pPr>
      <w:r>
        <w:rPr>
          <w:rFonts w:ascii="Arial Unicode MS" w:cs="Arial Unicode MS" w:hAnsi="Georgia" w:eastAsia="Arial Unicode MS" w:hint="default"/>
          <w:rtl w:val="0"/>
          <w:lang w:val="en-US"/>
        </w:rPr>
        <w:t>               </w:t>
      </w:r>
      <w:r>
        <w:rPr>
          <w:rFonts w:ascii="Georgia" w:cs="Arial Unicode MS" w:hAnsi="Arial Unicode MS" w:eastAsia="Arial Unicode MS"/>
          <w:rtl w:val="0"/>
          <w:lang w:val="en-US"/>
        </w:rPr>
        <w:t xml:space="preserve">Jamaica warmly welcomes our neighbour and sister </w:t>
      </w:r>
      <w:r>
        <w:rPr>
          <w:rFonts w:ascii="Georgia" w:cs="Arial Unicode MS" w:hAnsi="Arial Unicode MS" w:eastAsia="Arial Unicode MS"/>
          <w:rtl w:val="0"/>
          <w:lang w:val="en-US"/>
        </w:rPr>
        <w:t xml:space="preserve">CARICOM </w:t>
      </w:r>
      <w:r>
        <w:rPr>
          <w:rFonts w:ascii="Georgia" w:cs="Arial Unicode MS" w:hAnsi="Arial Unicode MS" w:eastAsia="Arial Unicode MS"/>
          <w:rtl w:val="0"/>
          <w:lang w:val="en-US"/>
        </w:rPr>
        <w:t xml:space="preserve">nation, Haiti, and thanks the </w:t>
      </w:r>
      <w:r>
        <w:rPr>
          <w:rFonts w:ascii="Georgia" w:cs="Arial Unicode MS" w:hAnsi="Arial Unicode MS" w:eastAsia="Arial Unicode MS"/>
          <w:rtl w:val="0"/>
          <w:lang w:val="en-US"/>
        </w:rPr>
        <w:t>distinguished Minister</w:t>
      </w:r>
      <w:r>
        <w:rPr>
          <w:rFonts w:ascii="Georgia" w:cs="Arial Unicode MS" w:hAnsi="Arial Unicode MS" w:eastAsia="Arial Unicode MS"/>
          <w:rtl w:val="0"/>
          <w:lang w:val="en-US"/>
        </w:rPr>
        <w:t xml:space="preserve"> for </w:t>
      </w:r>
      <w:r>
        <w:rPr>
          <w:rFonts w:ascii="Georgia" w:cs="Arial Unicode MS" w:hAnsi="Arial Unicode MS" w:eastAsia="Arial Unicode MS"/>
          <w:rtl w:val="0"/>
          <w:lang w:val="en-US"/>
        </w:rPr>
        <w:t>his</w:t>
      </w:r>
      <w:r>
        <w:rPr>
          <w:rFonts w:ascii="Georgia" w:cs="Arial Unicode MS" w:hAnsi="Arial Unicode MS" w:eastAsia="Arial Unicode MS"/>
          <w:rtl w:val="0"/>
          <w:lang w:val="en-US"/>
        </w:rPr>
        <w:t xml:space="preserve"> oral update.</w:t>
      </w:r>
    </w:p>
    <w:p>
      <w:pPr>
        <w:pStyle w:val="Normal"/>
        <w:rPr>
          <w:rtl w:val="0"/>
        </w:rPr>
      </w:pPr>
    </w:p>
    <w:p>
      <w:pPr>
        <w:pStyle w:val="Normal"/>
        <w:rPr>
          <w:rtl w:val="0"/>
        </w:rPr>
      </w:pP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 xml:space="preserve">Jamaica commends Haiti for its commitment to improving the quality of life of its citizens, particularly in the face of overwhelming odds.  </w:t>
      </w:r>
      <w:r>
        <w:rPr>
          <w:rFonts w:ascii="Georgia" w:cs="Arial Unicode MS" w:hAnsi="Arial Unicode MS" w:eastAsia="Arial Unicode MS"/>
          <w:rtl w:val="0"/>
          <w:lang w:val="en-US"/>
        </w:rPr>
        <w:t>We</w:t>
      </w:r>
      <w:r>
        <w:rPr>
          <w:rFonts w:ascii="Georgia" w:cs="Arial Unicode MS" w:hAnsi="Arial Unicode MS" w:eastAsia="Arial Unicode MS"/>
          <w:rtl w:val="0"/>
          <w:lang w:val="en-US"/>
        </w:rPr>
        <w:t xml:space="preserve"> commend the appointment of the post of Prime Minister</w:t>
      </w:r>
      <w:r>
        <w:rPr>
          <w:rFonts w:ascii="Arial Unicode MS" w:cs="Arial Unicode MS" w:hAnsi="Georgia" w:eastAsia="Arial Unicode MS" w:hint="default"/>
          <w:rtl w:val="0"/>
          <w:lang w:val="en-US"/>
        </w:rPr>
        <w:t>’</w:t>
      </w:r>
      <w:r>
        <w:rPr>
          <w:rFonts w:ascii="Georgia" w:cs="Arial Unicode MS" w:hAnsi="Arial Unicode MS" w:eastAsia="Arial Unicode MS"/>
          <w:rtl w:val="0"/>
          <w:lang w:val="en-US"/>
        </w:rPr>
        <w:t xml:space="preserve">s Deputy Minister for Human Rights [and the Fight Against Extreme Poverty]; reduction of the number of persons in pre-trial detention; and measures taken to manage and monitor </w:t>
      </w: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 xml:space="preserve">long-term - the adoption of Haitian children by foreigners.  </w:t>
      </w:r>
      <w:r>
        <w:rPr>
          <w:rFonts w:ascii="Georgia" w:cs="Arial Unicode MS" w:hAnsi="Arial Unicode MS" w:eastAsia="Arial Unicode MS"/>
          <w:rtl w:val="0"/>
          <w:lang w:val="en-US"/>
        </w:rPr>
        <w:t>We</w:t>
      </w:r>
      <w:r>
        <w:rPr>
          <w:rFonts w:ascii="Georgia" w:cs="Arial Unicode MS" w:hAnsi="Arial Unicode MS" w:eastAsia="Arial Unicode MS"/>
          <w:rtl w:val="0"/>
          <w:lang w:val="en-US"/>
        </w:rPr>
        <w:t xml:space="preserve"> also recognise the vast expertise amassed by Haiti in disaster risk reduction and management, post-2010, as evidenced by the thorough and cohesive response to Hurricane Matthew.</w:t>
      </w:r>
    </w:p>
    <w:p>
      <w:pPr>
        <w:pStyle w:val="Normal"/>
        <w:rPr>
          <w:rtl w:val="0"/>
        </w:rPr>
      </w:pPr>
    </w:p>
    <w:p>
      <w:pPr>
        <w:pStyle w:val="Normal"/>
        <w:rPr>
          <w:rtl w:val="0"/>
        </w:rPr>
      </w:pPr>
      <w:r>
        <w:rPr>
          <w:rFonts w:ascii="Georgia" w:cs="Arial Unicode MS" w:hAnsi="Arial Unicode MS" w:eastAsia="Arial Unicode MS"/>
          <w:rtl w:val="0"/>
        </w:rPr>
        <w:tab/>
        <w:t xml:space="preserve">Jamaica recommends that Haiti intensify </w:t>
      </w:r>
      <w:r>
        <w:rPr>
          <w:rFonts w:ascii="Georgia" w:cs="Arial Unicode MS" w:hAnsi="Arial Unicode MS" w:eastAsia="Arial Unicode MS"/>
          <w:rtl w:val="0"/>
          <w:lang w:val="en-US"/>
        </w:rPr>
        <w:t xml:space="preserve">collective </w:t>
      </w:r>
      <w:r>
        <w:rPr>
          <w:rFonts w:ascii="Georgia" w:cs="Arial Unicode MS" w:hAnsi="Arial Unicode MS" w:eastAsia="Arial Unicode MS"/>
          <w:rtl w:val="0"/>
          <w:lang w:val="en-US"/>
        </w:rPr>
        <w:t xml:space="preserve">efforts to </w:t>
      </w:r>
      <w:r>
        <w:rPr>
          <w:rFonts w:ascii="Georgia" w:cs="Arial Unicode MS" w:hAnsi="Arial Unicode MS" w:eastAsia="Arial Unicode MS"/>
          <w:rtl w:val="0"/>
          <w:lang w:val="en-US"/>
        </w:rPr>
        <w:t xml:space="preserve">ensure that scheduled </w:t>
      </w:r>
      <w:r>
        <w:rPr>
          <w:rFonts w:ascii="Georgia" w:cs="Arial Unicode MS" w:hAnsi="Arial Unicode MS" w:eastAsia="Arial Unicode MS"/>
          <w:rtl w:val="0"/>
          <w:lang w:val="en-US"/>
        </w:rPr>
        <w:t>elect</w:t>
      </w:r>
      <w:r>
        <w:rPr>
          <w:rFonts w:ascii="Georgia" w:cs="Arial Unicode MS" w:hAnsi="Arial Unicode MS" w:eastAsia="Arial Unicode MS"/>
          <w:rtl w:val="0"/>
          <w:lang w:val="en-US"/>
        </w:rPr>
        <w:t>ions are run</w:t>
      </w:r>
      <w:r>
        <w:rPr>
          <w:rFonts w:ascii="Georgia" w:cs="Arial Unicode MS" w:hAnsi="Arial Unicode MS" w:eastAsia="Arial Unicode MS"/>
          <w:rtl w:val="0"/>
          <w:lang w:val="en-US"/>
        </w:rPr>
        <w:t xml:space="preserve"> as s</w:t>
      </w:r>
      <w:r>
        <w:rPr>
          <w:rFonts w:ascii="Georgia" w:cs="Arial Unicode MS" w:hAnsi="Arial Unicode MS" w:eastAsia="Arial Unicode MS"/>
          <w:rtl w:val="0"/>
          <w:lang w:val="en-US"/>
        </w:rPr>
        <w:t>moothly</w:t>
      </w:r>
      <w:r>
        <w:rPr>
          <w:rFonts w:ascii="Georgia" w:cs="Arial Unicode MS" w:hAnsi="Arial Unicode MS" w:eastAsia="Arial Unicode MS"/>
          <w:rtl w:val="0"/>
          <w:lang w:val="en-US"/>
        </w:rPr>
        <w:t xml:space="preserve"> as possible, in </w:t>
      </w:r>
      <w:r>
        <w:rPr>
          <w:rFonts w:ascii="Georgia" w:cs="Arial Unicode MS" w:hAnsi="Arial Unicode MS" w:eastAsia="Arial Unicode MS"/>
          <w:rtl w:val="0"/>
          <w:lang w:val="en-US"/>
        </w:rPr>
        <w:t>spite of ongoing recovery efforts, utilising its renowned resilience</w:t>
      </w:r>
      <w:r>
        <w:rPr>
          <w:rFonts w:ascii="Georgia" w:cs="Arial Unicode MS" w:hAnsi="Arial Unicode MS" w:eastAsia="Arial Unicode MS"/>
          <w:rtl w:val="0"/>
          <w:lang w:val="en-US"/>
        </w:rPr>
        <w:t>.</w:t>
      </w:r>
    </w:p>
    <w:p>
      <w:pPr>
        <w:pStyle w:val="Normal"/>
        <w:rPr>
          <w:rtl w:val="0"/>
        </w:rPr>
      </w:pPr>
    </w:p>
    <w:p>
      <w:pPr>
        <w:pStyle w:val="Normal"/>
        <w:rPr>
          <w:rtl w:val="0"/>
        </w:rPr>
      </w:pPr>
      <w:r>
        <w:rPr>
          <w:rtl w:val="0"/>
        </w:rPr>
        <w:tab/>
      </w:r>
      <w:r>
        <w:rPr>
          <w:rFonts w:ascii="Georgia" w:cs="Arial Unicode MS" w:hAnsi="Arial Unicode MS" w:eastAsia="Arial Unicode MS"/>
          <w:rtl w:val="0"/>
          <w:lang w:val="en-US"/>
        </w:rPr>
        <w:t>We</w:t>
      </w:r>
      <w:r>
        <w:rPr>
          <w:rFonts w:ascii="Georgia" w:cs="Arial Unicode MS" w:hAnsi="Arial Unicode MS" w:eastAsia="Arial Unicode MS"/>
          <w:rtl w:val="0"/>
          <w:lang w:val="en-US"/>
        </w:rPr>
        <w:t xml:space="preserve"> share the Government</w:t>
      </w:r>
      <w:r>
        <w:rPr>
          <w:rFonts w:ascii="Arial Unicode MS" w:cs="Arial Unicode MS" w:hAnsi="Georgia" w:eastAsia="Arial Unicode MS" w:hint="default"/>
          <w:rtl w:val="0"/>
          <w:lang w:val="en-US"/>
        </w:rPr>
        <w:t>’</w:t>
      </w:r>
      <w:r>
        <w:rPr>
          <w:rFonts w:ascii="Georgia" w:cs="Arial Unicode MS" w:hAnsi="Arial Unicode MS" w:eastAsia="Arial Unicode MS"/>
          <w:rtl w:val="0"/>
          <w:lang w:val="en-US"/>
        </w:rPr>
        <w:t xml:space="preserve">s concern about the continued practice of </w:t>
      </w:r>
      <w:r>
        <w:rPr>
          <w:rFonts w:ascii="Arial Unicode MS" w:cs="Arial Unicode MS" w:hAnsi="Georgia" w:eastAsia="Arial Unicode MS" w:hint="default"/>
          <w:i w:val="1"/>
          <w:iCs w:val="1"/>
          <w:rtl w:val="0"/>
          <w:lang w:val="en-US"/>
        </w:rPr>
        <w:t>“</w:t>
      </w:r>
      <w:r>
        <w:rPr>
          <w:rFonts w:ascii="Georgia" w:cs="Arial Unicode MS" w:hAnsi="Arial Unicode MS" w:eastAsia="Arial Unicode MS"/>
          <w:i w:val="1"/>
          <w:iCs w:val="1"/>
          <w:rtl w:val="0"/>
          <w:lang w:val="en-US"/>
        </w:rPr>
        <w:t>restaveks</w:t>
      </w:r>
      <w:r>
        <w:rPr>
          <w:rFonts w:ascii="Arial Unicode MS" w:cs="Arial Unicode MS" w:hAnsi="Georgia" w:eastAsia="Arial Unicode MS" w:hint="default"/>
          <w:i w:val="1"/>
          <w:iCs w:val="1"/>
          <w:rtl w:val="0"/>
          <w:lang w:val="en-US"/>
        </w:rPr>
        <w:t>”</w:t>
      </w:r>
      <w:r>
        <w:rPr>
          <w:rFonts w:ascii="Georgia" w:cs="Arial Unicode MS" w:hAnsi="Arial Unicode MS" w:eastAsia="Arial Unicode MS"/>
          <w:i w:val="1"/>
          <w:iCs w:val="1"/>
          <w:rtl w:val="0"/>
          <w:lang w:val="en-US"/>
        </w:rPr>
        <w:t>,</w:t>
      </w:r>
      <w:r>
        <w:rPr>
          <w:rFonts w:ascii="Georgia" w:cs="Arial Unicode MS" w:hAnsi="Arial Unicode MS" w:eastAsia="Arial Unicode MS"/>
          <w:rtl w:val="0"/>
          <w:lang w:val="en-US"/>
        </w:rPr>
        <w:t xml:space="preserve"> and note the CRC</w:t>
      </w:r>
      <w:r>
        <w:rPr>
          <w:rFonts w:ascii="Arial Unicode MS" w:cs="Arial Unicode MS" w:hAnsi="Georgia" w:eastAsia="Arial Unicode MS" w:hint="default"/>
          <w:rtl w:val="0"/>
          <w:lang w:val="en-US"/>
        </w:rPr>
        <w:t>’</w:t>
      </w:r>
      <w:r>
        <w:rPr>
          <w:rFonts w:ascii="Georgia" w:cs="Arial Unicode MS" w:hAnsi="Arial Unicode MS" w:eastAsia="Arial Unicode MS"/>
          <w:rtl w:val="0"/>
          <w:lang w:val="en-US"/>
        </w:rPr>
        <w:t xml:space="preserve">s recommendation that this practice be criminalised.  We recognise, however, that outlawing the practice without addressing the root causes or providing alternative income sources, could force children into even more dangerous situations.  We, therefore, recommend that Haiti adopt a holistic, long-term approach that involves phasing out </w:t>
      </w:r>
      <w:r>
        <w:rPr>
          <w:rFonts w:ascii="Arial Unicode MS" w:cs="Arial Unicode MS" w:hAnsi="Georgia" w:eastAsia="Arial Unicode MS" w:hint="default"/>
          <w:i w:val="1"/>
          <w:iCs w:val="1"/>
          <w:rtl w:val="0"/>
          <w:lang w:val="en-US"/>
        </w:rPr>
        <w:t>“</w:t>
      </w:r>
      <w:r>
        <w:rPr>
          <w:rFonts w:ascii="Georgia" w:cs="Arial Unicode MS" w:hAnsi="Arial Unicode MS" w:eastAsia="Arial Unicode MS"/>
          <w:i w:val="1"/>
          <w:iCs w:val="1"/>
          <w:rtl w:val="0"/>
          <w:lang w:val="en-US"/>
        </w:rPr>
        <w:t>restaveks</w:t>
      </w:r>
      <w:r>
        <w:rPr>
          <w:rFonts w:ascii="Arial Unicode MS" w:cs="Arial Unicode MS" w:hAnsi="Georgia" w:eastAsia="Arial Unicode MS" w:hint="default"/>
          <w:i w:val="1"/>
          <w:iCs w:val="1"/>
          <w:rtl w:val="0"/>
          <w:lang w:val="en-US"/>
        </w:rPr>
        <w:t>”</w:t>
      </w:r>
      <w:r>
        <w:rPr>
          <w:rFonts w:ascii="Georgia" w:cs="Arial Unicode MS" w:hAnsi="Arial Unicode MS" w:eastAsia="Arial Unicode MS"/>
          <w:i w:val="1"/>
          <w:iCs w:val="1"/>
          <w:rtl w:val="0"/>
          <w:lang w:val="en-US"/>
        </w:rPr>
        <w:t>;</w:t>
      </w:r>
      <w:r>
        <w:rPr>
          <w:rFonts w:ascii="Georgia" w:cs="Arial Unicode MS" w:hAnsi="Arial Unicode MS" w:eastAsia="Arial Unicode MS"/>
          <w:rtl w:val="0"/>
          <w:lang w:val="en-US"/>
        </w:rPr>
        <w:t xml:space="preserve"> incorporating international best practices which could include increased inspections, sensitisation of parents, children and employers, and guaranteed schooling for child domestics.</w:t>
      </w:r>
      <w:r>
        <w:rPr>
          <w:rFonts w:ascii="Georgia" w:cs="Arial Unicode MS" w:hAnsi="Arial Unicode MS" w:eastAsia="Arial Unicode MS"/>
          <w:rtl w:val="0"/>
          <w:lang w:val="en-US"/>
        </w:rPr>
        <w:t xml:space="preserve">  We also recommend that Haiti renew the mandate of the National Disabilities Council.</w:t>
      </w:r>
    </w:p>
    <w:p>
      <w:pPr>
        <w:pStyle w:val="Normal"/>
        <w:rPr>
          <w:rtl w:val="0"/>
        </w:rPr>
      </w:pPr>
    </w:p>
    <w:p>
      <w:pPr>
        <w:pStyle w:val="Normal"/>
        <w:rPr>
          <w:rtl w:val="0"/>
        </w:rPr>
      </w:pPr>
      <w:r>
        <w:rPr>
          <w:rFonts w:ascii="Arial Unicode MS" w:cs="Arial Unicode MS" w:hAnsi="Georgia" w:eastAsia="Arial Unicode MS" w:hint="default"/>
          <w:rtl w:val="0"/>
          <w:lang w:val="en-US"/>
        </w:rPr>
        <w:t xml:space="preserve">             </w:t>
      </w:r>
      <w:r>
        <w:rPr>
          <w:rFonts w:ascii="Georgia" w:cs="Arial Unicode MS" w:hAnsi="Arial Unicode MS" w:eastAsia="Arial Unicode MS"/>
          <w:rtl w:val="0"/>
          <w:lang w:val="en-US"/>
        </w:rPr>
        <w:t xml:space="preserve">Finally, Jamaica wishes Haiti all the very best in </w:t>
      </w:r>
      <w:r>
        <w:rPr>
          <w:rFonts w:ascii="Georgia" w:cs="Arial Unicode MS" w:hAnsi="Arial Unicode MS" w:eastAsia="Arial Unicode MS"/>
          <w:rtl w:val="0"/>
          <w:lang w:val="en-US"/>
        </w:rPr>
        <w:t xml:space="preserve">this </w:t>
      </w:r>
      <w:r>
        <w:rPr>
          <w:rFonts w:ascii="Georgia" w:cs="Arial Unicode MS" w:hAnsi="Arial Unicode MS" w:eastAsia="Arial Unicode MS"/>
          <w:rtl w:val="0"/>
          <w:lang w:val="en-US"/>
        </w:rPr>
        <w:t>review.</w:t>
      </w:r>
    </w:p>
    <w:p>
      <w:pPr>
        <w:pStyle w:val="Normal"/>
        <w:rPr>
          <w:rtl w:val="0"/>
        </w:rPr>
      </w:pPr>
    </w:p>
    <w:p>
      <w:pPr>
        <w:pStyle w:val="Normal"/>
      </w:pPr>
      <w:r>
        <w:rPr>
          <w:rFonts w:ascii="Arial Unicode MS" w:cs="Arial Unicode MS" w:hAnsi="Georgia" w:eastAsia="Arial Unicode MS" w:hint="default"/>
          <w:rtl w:val="0"/>
          <w:lang w:val="en-US"/>
        </w:rPr>
        <w:t xml:space="preserve">          </w:t>
        <w:tab/>
      </w:r>
      <w:r>
        <w:rPr>
          <w:rFonts w:ascii="Georgia" w:cs="Arial Unicode MS" w:hAnsi="Arial Unicode MS" w:eastAsia="Arial Unicode MS"/>
          <w:rtl w:val="0"/>
          <w:lang w:val="en-US"/>
        </w:rPr>
        <w:t>I thank you.</w:t>
      </w:r>
    </w:p>
    <w:sectPr>
      <w:headerReference w:type="default" r:id="rId4"/>
      <w:footerReference w:type="default" r:id="rId5"/>
      <w:pgSz w:w="12240" w:h="15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 JULIAN">
    <w:charset w:val="00"/>
    <w:family w:val="roman"/>
    <w:pitch w:val="default"/>
  </w:font>
  <w:font w:name="Helvetica">
    <w:charset w:val="00"/>
    <w:family w:val="roman"/>
    <w:pitch w:val="default"/>
  </w:font>
  <w:font w:name="Georgia Bol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jc w:val="right"/>
      <w:rPr>
        <w:rFonts w:ascii="AR JULIAN" w:cs="AR JULIAN" w:hAnsi="AR JULIAN" w:eastAsia="AR JULIAN"/>
        <w:sz w:val="28"/>
        <w:szCs w:val="28"/>
        <w:u w:val="single"/>
        <w:rtl w:val="0"/>
      </w:rPr>
    </w:pPr>
    <w:r>
      <w:rPr>
        <w:rFonts w:ascii="AR JULIAN" w:cs="AR JULIAN" w:hAnsi="AR JULIAN" w:eastAsia="AR JULIAN"/>
        <w:sz w:val="28"/>
        <w:szCs w:val="28"/>
        <w:u w:val="single"/>
        <w:rtl w:val="0"/>
        <w:lang w:val="en-US"/>
      </w:rPr>
      <w:t>VERBATIM</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20" w:after="20" w:line="276" w:lineRule="auto"/>
      <w:ind w:left="0" w:right="0" w:firstLine="0"/>
      <w:jc w:val="left"/>
      <w:outlineLvl w:val="9"/>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20" w:after="20" w:line="276"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20" w:after="2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35674-6E62-4926-854B-E97195A8E908}"/>
</file>

<file path=customXml/itemProps2.xml><?xml version="1.0" encoding="utf-8"?>
<ds:datastoreItem xmlns:ds="http://schemas.openxmlformats.org/officeDocument/2006/customXml" ds:itemID="{3555405F-496C-4FFC-A201-32F92ADE7FCE}"/>
</file>

<file path=customXml/itemProps3.xml><?xml version="1.0" encoding="utf-8"?>
<ds:datastoreItem xmlns:ds="http://schemas.openxmlformats.org/officeDocument/2006/customXml" ds:itemID="{2E037E16-E781-49F0-9565-28ED06AC610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