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8B" w:rsidRDefault="0089708B" w:rsidP="0089708B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r>
        <w:rPr>
          <w:noProof/>
          <w:lang w:val="de-DE" w:eastAsia="de-DE"/>
        </w:rPr>
        <w:drawing>
          <wp:inline distT="0" distB="0" distL="0" distR="0" wp14:anchorId="726C1E7B" wp14:editId="38DA4B12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8B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6776A6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89708B" w:rsidRPr="006776A6" w:rsidRDefault="0089708B" w:rsidP="0089708B">
      <w:pPr>
        <w:jc w:val="center"/>
        <w:rPr>
          <w:rFonts w:ascii="Verdana" w:hAnsi="Verdana"/>
          <w:b/>
          <w:color w:val="000000"/>
          <w:sz w:val="28"/>
          <w:szCs w:val="28"/>
          <w:lang w:val="en-US"/>
        </w:rPr>
      </w:pP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United Nations Human Rights Council</w:t>
      </w: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2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6th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Session of the UPR Working Group</w:t>
      </w: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Geneva, 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7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November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6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br/>
      </w: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---</w:t>
      </w:r>
    </w:p>
    <w:p w:rsidR="0089708B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German recommendations </w:t>
      </w:r>
    </w:p>
    <w:p w:rsidR="0089708B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to</w:t>
      </w:r>
      <w:proofErr w:type="gramEnd"/>
    </w:p>
    <w:p w:rsidR="0089708B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Haiti</w:t>
      </w:r>
    </w:p>
    <w:p w:rsidR="0089708B" w:rsidRDefault="0089708B" w:rsidP="0089708B">
      <w:pPr>
        <w:spacing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p w:rsidR="0089708B" w:rsidRDefault="0089708B" w:rsidP="00304FAC">
      <w:pPr>
        <w:jc w:val="both"/>
        <w:rPr>
          <w:lang w:val="en-US"/>
        </w:rPr>
      </w:pPr>
    </w:p>
    <w:p w:rsidR="0089708B" w:rsidRDefault="0089708B" w:rsidP="00304FAC">
      <w:pPr>
        <w:jc w:val="both"/>
        <w:rPr>
          <w:lang w:val="en-US"/>
        </w:rPr>
      </w:pPr>
    </w:p>
    <w:p w:rsidR="00FF2484" w:rsidRPr="0089708B" w:rsidRDefault="00FF2484" w:rsidP="00304FAC">
      <w:pPr>
        <w:jc w:val="both"/>
        <w:rPr>
          <w:sz w:val="28"/>
          <w:szCs w:val="28"/>
          <w:lang w:val="en-US"/>
        </w:rPr>
      </w:pPr>
      <w:bookmarkStart w:id="0" w:name="_GoBack"/>
      <w:r w:rsidRPr="0089708B">
        <w:rPr>
          <w:sz w:val="28"/>
          <w:szCs w:val="28"/>
          <w:lang w:val="en-US"/>
        </w:rPr>
        <w:t>Mr. President,</w:t>
      </w:r>
    </w:p>
    <w:p w:rsidR="00D814D5" w:rsidRPr="0089708B" w:rsidRDefault="00FF2484" w:rsidP="00304FAC">
      <w:p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>Germany would like to thank the delegation of Haiti for the report presented today. We express our deep</w:t>
      </w:r>
      <w:r w:rsidR="00611738" w:rsidRPr="0089708B">
        <w:rPr>
          <w:sz w:val="28"/>
          <w:szCs w:val="28"/>
          <w:lang w:val="en-US"/>
        </w:rPr>
        <w:t>est</w:t>
      </w:r>
      <w:r w:rsidRPr="0089708B">
        <w:rPr>
          <w:sz w:val="28"/>
          <w:szCs w:val="28"/>
          <w:lang w:val="en-US"/>
        </w:rPr>
        <w:t xml:space="preserve"> </w:t>
      </w:r>
      <w:r w:rsidR="00D814D5" w:rsidRPr="0089708B">
        <w:rPr>
          <w:sz w:val="28"/>
          <w:szCs w:val="28"/>
          <w:lang w:val="en-US"/>
        </w:rPr>
        <w:t>sympath</w:t>
      </w:r>
      <w:r w:rsidR="00611738" w:rsidRPr="0089708B">
        <w:rPr>
          <w:sz w:val="28"/>
          <w:szCs w:val="28"/>
          <w:lang w:val="en-US"/>
        </w:rPr>
        <w:t>ies</w:t>
      </w:r>
      <w:r w:rsidRPr="0089708B">
        <w:rPr>
          <w:sz w:val="28"/>
          <w:szCs w:val="28"/>
          <w:lang w:val="en-US"/>
        </w:rPr>
        <w:t xml:space="preserve"> for </w:t>
      </w:r>
      <w:r w:rsidR="00D814D5" w:rsidRPr="0089708B">
        <w:rPr>
          <w:sz w:val="28"/>
          <w:szCs w:val="28"/>
          <w:lang w:val="en-US"/>
        </w:rPr>
        <w:t xml:space="preserve">the people and the Government of Haiti and </w:t>
      </w:r>
      <w:r w:rsidR="00434CC8" w:rsidRPr="0089708B">
        <w:rPr>
          <w:sz w:val="28"/>
          <w:szCs w:val="28"/>
          <w:lang w:val="en-US"/>
        </w:rPr>
        <w:t xml:space="preserve">recognize the good cooperation between the Government of Haiti and the international community while facing the current humanitarian crisis. </w:t>
      </w:r>
    </w:p>
    <w:p w:rsidR="00837594" w:rsidRPr="0089708B" w:rsidRDefault="00CD4F69" w:rsidP="00CD4F69">
      <w:p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>Germany is</w:t>
      </w:r>
      <w:r w:rsidR="00434CC8" w:rsidRPr="0089708B">
        <w:rPr>
          <w:sz w:val="28"/>
          <w:szCs w:val="28"/>
          <w:lang w:val="en-US"/>
        </w:rPr>
        <w:t xml:space="preserve"> concerned about </w:t>
      </w:r>
      <w:r w:rsidR="00015F08" w:rsidRPr="0089708B">
        <w:rPr>
          <w:sz w:val="28"/>
          <w:szCs w:val="28"/>
          <w:lang w:val="en-US"/>
        </w:rPr>
        <w:t xml:space="preserve">ongoing mass evictions, including those from displacement camps. </w:t>
      </w:r>
      <w:r w:rsidR="00887E93" w:rsidRPr="0089708B">
        <w:rPr>
          <w:sz w:val="28"/>
          <w:szCs w:val="28"/>
          <w:lang w:val="en-US"/>
        </w:rPr>
        <w:t>With respect to the implementation of the National Policy on Housing and Habitat, w</w:t>
      </w:r>
      <w:r w:rsidR="00015F08" w:rsidRPr="0089708B">
        <w:rPr>
          <w:sz w:val="28"/>
          <w:szCs w:val="28"/>
          <w:lang w:val="en-US"/>
        </w:rPr>
        <w:t xml:space="preserve">e identify the need </w:t>
      </w:r>
      <w:r w:rsidR="00887E93" w:rsidRPr="0089708B">
        <w:rPr>
          <w:sz w:val="28"/>
          <w:szCs w:val="28"/>
          <w:lang w:val="en-US"/>
        </w:rPr>
        <w:t xml:space="preserve">to ensure access to adequate housing </w:t>
      </w:r>
      <w:r w:rsidR="00015F08" w:rsidRPr="0089708B">
        <w:rPr>
          <w:sz w:val="28"/>
          <w:szCs w:val="28"/>
          <w:lang w:val="en-US"/>
        </w:rPr>
        <w:t>on the basis of non-discrimination.</w:t>
      </w:r>
    </w:p>
    <w:p w:rsidR="005C0CB6" w:rsidRPr="0089708B" w:rsidRDefault="005C0CB6" w:rsidP="00304FAC">
      <w:p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 xml:space="preserve">Moreover, Germany is concerned about </w:t>
      </w:r>
      <w:r w:rsidR="00611738" w:rsidRPr="0089708B">
        <w:rPr>
          <w:sz w:val="28"/>
          <w:szCs w:val="28"/>
          <w:lang w:val="en-US"/>
        </w:rPr>
        <w:t>alleged</w:t>
      </w:r>
      <w:r w:rsidRPr="0089708B">
        <w:rPr>
          <w:sz w:val="28"/>
          <w:szCs w:val="28"/>
          <w:lang w:val="en-US"/>
        </w:rPr>
        <w:t xml:space="preserve"> </w:t>
      </w:r>
      <w:r w:rsidR="00611738" w:rsidRPr="0089708B">
        <w:rPr>
          <w:sz w:val="28"/>
          <w:szCs w:val="28"/>
          <w:lang w:val="en-US"/>
        </w:rPr>
        <w:t xml:space="preserve">domestic </w:t>
      </w:r>
      <w:r w:rsidRPr="0089708B">
        <w:rPr>
          <w:sz w:val="28"/>
          <w:szCs w:val="28"/>
          <w:lang w:val="en-US"/>
        </w:rPr>
        <w:t>mistrust against the justice system</w:t>
      </w:r>
      <w:r w:rsidR="00611738" w:rsidRPr="0089708B">
        <w:rPr>
          <w:sz w:val="28"/>
          <w:szCs w:val="28"/>
          <w:lang w:val="en-US"/>
        </w:rPr>
        <w:t xml:space="preserve"> in Haiti</w:t>
      </w:r>
      <w:r w:rsidRPr="0089708B">
        <w:rPr>
          <w:sz w:val="28"/>
          <w:szCs w:val="28"/>
          <w:lang w:val="en-US"/>
        </w:rPr>
        <w:t xml:space="preserve"> and its </w:t>
      </w:r>
      <w:r w:rsidR="00304FAC" w:rsidRPr="0089708B">
        <w:rPr>
          <w:sz w:val="28"/>
          <w:szCs w:val="28"/>
          <w:lang w:val="en-US"/>
        </w:rPr>
        <w:t>employees</w:t>
      </w:r>
      <w:r w:rsidRPr="0089708B">
        <w:rPr>
          <w:sz w:val="28"/>
          <w:szCs w:val="28"/>
          <w:lang w:val="en-US"/>
        </w:rPr>
        <w:t xml:space="preserve"> due to the high rate of corruption. </w:t>
      </w:r>
    </w:p>
    <w:p w:rsidR="00837594" w:rsidRPr="0089708B" w:rsidRDefault="00434CC8" w:rsidP="00304FAC">
      <w:p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 xml:space="preserve"> </w:t>
      </w:r>
      <w:r w:rsidR="00837594" w:rsidRPr="0089708B">
        <w:rPr>
          <w:sz w:val="28"/>
          <w:szCs w:val="28"/>
          <w:lang w:val="en-US"/>
        </w:rPr>
        <w:t xml:space="preserve">Therefore, we would like to </w:t>
      </w:r>
      <w:r w:rsidR="00611738" w:rsidRPr="0089708B">
        <w:rPr>
          <w:sz w:val="28"/>
          <w:szCs w:val="28"/>
          <w:lang w:val="en-US"/>
        </w:rPr>
        <w:t>offer</w:t>
      </w:r>
      <w:r w:rsidR="00837594" w:rsidRPr="0089708B">
        <w:rPr>
          <w:sz w:val="28"/>
          <w:szCs w:val="28"/>
          <w:lang w:val="en-US"/>
        </w:rPr>
        <w:t xml:space="preserve"> the following recommendations to the Government of Haiti:</w:t>
      </w:r>
    </w:p>
    <w:p w:rsidR="00015F08" w:rsidRPr="0089708B" w:rsidRDefault="00015F08" w:rsidP="00CD4F69">
      <w:pPr>
        <w:pStyle w:val="Listenabsatz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>End all enforced evictions</w:t>
      </w:r>
      <w:r w:rsidR="001E5429" w:rsidRPr="0089708B">
        <w:rPr>
          <w:sz w:val="28"/>
          <w:szCs w:val="28"/>
          <w:lang w:val="en-US"/>
        </w:rPr>
        <w:t xml:space="preserve"> from displacement camps</w:t>
      </w:r>
      <w:r w:rsidRPr="0089708B">
        <w:rPr>
          <w:sz w:val="28"/>
          <w:szCs w:val="28"/>
          <w:lang w:val="en-US"/>
        </w:rPr>
        <w:t xml:space="preserve"> and </w:t>
      </w:r>
      <w:r w:rsidR="001E5429" w:rsidRPr="0089708B">
        <w:rPr>
          <w:sz w:val="28"/>
          <w:szCs w:val="28"/>
          <w:lang w:val="en-US"/>
        </w:rPr>
        <w:t>establish</w:t>
      </w:r>
      <w:r w:rsidRPr="0089708B">
        <w:rPr>
          <w:sz w:val="28"/>
          <w:szCs w:val="28"/>
          <w:lang w:val="en-US"/>
        </w:rPr>
        <w:t xml:space="preserve"> an official moratorium on mass eviction until all legal and procedural safeguards compliant with international human rights standards are in place.</w:t>
      </w:r>
    </w:p>
    <w:p w:rsidR="00434CC8" w:rsidRPr="0089708B" w:rsidRDefault="00611738" w:rsidP="00F67907">
      <w:pPr>
        <w:pStyle w:val="Listenabsatz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>Ensure</w:t>
      </w:r>
      <w:r w:rsidR="005C0CB6" w:rsidRPr="0089708B">
        <w:rPr>
          <w:sz w:val="28"/>
          <w:szCs w:val="28"/>
          <w:lang w:val="en-US"/>
        </w:rPr>
        <w:t xml:space="preserve"> </w:t>
      </w:r>
      <w:r w:rsidRPr="0089708B">
        <w:rPr>
          <w:sz w:val="28"/>
          <w:szCs w:val="28"/>
          <w:lang w:val="en-US"/>
        </w:rPr>
        <w:t>sufficient</w:t>
      </w:r>
      <w:r w:rsidR="005C0CB6" w:rsidRPr="0089708B">
        <w:rPr>
          <w:sz w:val="28"/>
          <w:szCs w:val="28"/>
          <w:lang w:val="en-US"/>
        </w:rPr>
        <w:t xml:space="preserve"> human resources in the justice system</w:t>
      </w:r>
      <w:r w:rsidRPr="0089708B">
        <w:rPr>
          <w:sz w:val="28"/>
          <w:szCs w:val="28"/>
          <w:lang w:val="en-US"/>
        </w:rPr>
        <w:t>,</w:t>
      </w:r>
      <w:r w:rsidR="005C0CB6" w:rsidRPr="0089708B">
        <w:rPr>
          <w:sz w:val="28"/>
          <w:szCs w:val="28"/>
          <w:lang w:val="en-US"/>
        </w:rPr>
        <w:t xml:space="preserve"> </w:t>
      </w:r>
      <w:r w:rsidR="00F67907" w:rsidRPr="0089708B">
        <w:rPr>
          <w:sz w:val="28"/>
          <w:szCs w:val="28"/>
          <w:lang w:val="en-US"/>
        </w:rPr>
        <w:t>including the Supreme Court of the Judiciary</w:t>
      </w:r>
      <w:r w:rsidRPr="0089708B">
        <w:rPr>
          <w:sz w:val="28"/>
          <w:szCs w:val="28"/>
          <w:lang w:val="en-US"/>
        </w:rPr>
        <w:t>,</w:t>
      </w:r>
      <w:r w:rsidR="00F67907" w:rsidRPr="0089708B">
        <w:rPr>
          <w:sz w:val="28"/>
          <w:szCs w:val="28"/>
          <w:lang w:val="en-US"/>
        </w:rPr>
        <w:t xml:space="preserve"> to enable its independent operation, to decrease the number of persons in preventive custody and to guarantee the right to a fair trial. </w:t>
      </w:r>
      <w:r w:rsidR="005C0CB6" w:rsidRPr="0089708B">
        <w:rPr>
          <w:strike/>
          <w:sz w:val="28"/>
          <w:szCs w:val="28"/>
          <w:lang w:val="en-US"/>
        </w:rPr>
        <w:t xml:space="preserve"> </w:t>
      </w:r>
    </w:p>
    <w:p w:rsidR="008E7997" w:rsidRPr="0089708B" w:rsidRDefault="008E7997" w:rsidP="008E7997">
      <w:pPr>
        <w:pStyle w:val="Listenabsatz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 xml:space="preserve">Ratify the </w:t>
      </w:r>
      <w:r w:rsidR="001E5429" w:rsidRPr="0089708B">
        <w:rPr>
          <w:sz w:val="28"/>
          <w:szCs w:val="28"/>
          <w:lang w:val="en-US"/>
        </w:rPr>
        <w:t>Rome Statute of the International Criminal Court which was already signed in 1999 and guarantee its fu</w:t>
      </w:r>
      <w:r w:rsidR="00611738" w:rsidRPr="0089708B">
        <w:rPr>
          <w:sz w:val="28"/>
          <w:szCs w:val="28"/>
          <w:lang w:val="en-US"/>
        </w:rPr>
        <w:t>l</w:t>
      </w:r>
      <w:r w:rsidR="001E5429" w:rsidRPr="0089708B">
        <w:rPr>
          <w:sz w:val="28"/>
          <w:szCs w:val="28"/>
          <w:lang w:val="en-US"/>
        </w:rPr>
        <w:t>l implementation into national law</w:t>
      </w:r>
      <w:r w:rsidRPr="0089708B">
        <w:rPr>
          <w:sz w:val="28"/>
          <w:szCs w:val="28"/>
          <w:lang w:val="en-US"/>
        </w:rPr>
        <w:t>.</w:t>
      </w:r>
    </w:p>
    <w:p w:rsidR="00FF2484" w:rsidRPr="0089708B" w:rsidRDefault="00FF2484" w:rsidP="00304FAC">
      <w:pPr>
        <w:jc w:val="both"/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>Thank you Mr. President.</w:t>
      </w:r>
    </w:p>
    <w:p w:rsidR="00FF2484" w:rsidRPr="0089708B" w:rsidRDefault="00FF2484" w:rsidP="00FF2484">
      <w:pPr>
        <w:rPr>
          <w:sz w:val="28"/>
          <w:szCs w:val="28"/>
          <w:lang w:val="en-US"/>
        </w:rPr>
      </w:pPr>
      <w:r w:rsidRPr="0089708B">
        <w:rPr>
          <w:sz w:val="28"/>
          <w:szCs w:val="28"/>
          <w:lang w:val="en-US"/>
        </w:rPr>
        <w:t xml:space="preserve"> </w:t>
      </w:r>
    </w:p>
    <w:bookmarkEnd w:id="0"/>
    <w:p w:rsidR="008D0DD3" w:rsidRDefault="0089708B"/>
    <w:sectPr w:rsidR="008D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FE0"/>
    <w:multiLevelType w:val="hybridMultilevel"/>
    <w:tmpl w:val="2E0CD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7687"/>
    <w:multiLevelType w:val="hybridMultilevel"/>
    <w:tmpl w:val="81284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423C"/>
    <w:multiLevelType w:val="hybridMultilevel"/>
    <w:tmpl w:val="05864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4"/>
    <w:rsid w:val="00015F08"/>
    <w:rsid w:val="000F3A8E"/>
    <w:rsid w:val="00182EF1"/>
    <w:rsid w:val="001E5429"/>
    <w:rsid w:val="00304FAC"/>
    <w:rsid w:val="003572C1"/>
    <w:rsid w:val="00434CC8"/>
    <w:rsid w:val="005C0CB6"/>
    <w:rsid w:val="00611738"/>
    <w:rsid w:val="00837594"/>
    <w:rsid w:val="00887E93"/>
    <w:rsid w:val="0089708B"/>
    <w:rsid w:val="008E7997"/>
    <w:rsid w:val="00A55B0A"/>
    <w:rsid w:val="00B467EE"/>
    <w:rsid w:val="00CD4F69"/>
    <w:rsid w:val="00D814D5"/>
    <w:rsid w:val="00DA15F0"/>
    <w:rsid w:val="00EC0E87"/>
    <w:rsid w:val="00EE78A2"/>
    <w:rsid w:val="00F67907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4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4C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34CC8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9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9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99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9708B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4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4C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34CC8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9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9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99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9708B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35</Order1>
  </documentManagement>
</p:properties>
</file>

<file path=customXml/itemProps1.xml><?xml version="1.0" encoding="utf-8"?>
<ds:datastoreItem xmlns:ds="http://schemas.openxmlformats.org/officeDocument/2006/customXml" ds:itemID="{E1CF568A-30AB-438A-AC92-53C914B61751}"/>
</file>

<file path=customXml/itemProps2.xml><?xml version="1.0" encoding="utf-8"?>
<ds:datastoreItem xmlns:ds="http://schemas.openxmlformats.org/officeDocument/2006/customXml" ds:itemID="{BA00C60D-E2FA-4F62-9140-23E8B61B6A64}"/>
</file>

<file path=customXml/itemProps3.xml><?xml version="1.0" encoding="utf-8"?>
<ds:datastoreItem xmlns:ds="http://schemas.openxmlformats.org/officeDocument/2006/customXml" ds:itemID="{CBBB3E16-7515-42D1-B0CF-E36263121A46}"/>
</file>

<file path=customXml/itemProps4.xml><?xml version="1.0" encoding="utf-8"?>
<ds:datastoreItem xmlns:ds="http://schemas.openxmlformats.org/officeDocument/2006/customXml" ds:itemID="{0801DE97-06D2-40CE-BCC5-13538E07E8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Schwab, Julia (AA privat)</dc:creator>
  <cp:lastModifiedBy>Recker, Clemens (AA privat)</cp:lastModifiedBy>
  <cp:revision>3</cp:revision>
  <dcterms:created xsi:type="dcterms:W3CDTF">2016-10-28T07:06:00Z</dcterms:created>
  <dcterms:modified xsi:type="dcterms:W3CDTF">2016-11-04T15:45:00Z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