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C" w:rsidRPr="00C22328" w:rsidRDefault="00A76F8C" w:rsidP="00A76F8C">
      <w:pPr>
        <w:pStyle w:val="FootnoteText"/>
        <w:tabs>
          <w:tab w:val="center" w:pos="2268"/>
        </w:tabs>
        <w:jc w:val="center"/>
        <w:rPr>
          <w:rFonts w:ascii="Verdana" w:hAnsi="Verdana" w:cs="Arial"/>
          <w:sz w:val="20"/>
          <w:lang w:val="en-US"/>
        </w:rPr>
      </w:pPr>
      <w:bookmarkStart w:id="0" w:name="_GoBack"/>
      <w:bookmarkEnd w:id="0"/>
      <w:r w:rsidRPr="00C22328"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3B41B763" wp14:editId="632530F2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8C" w:rsidRPr="00645C9E" w:rsidRDefault="00A76F8C" w:rsidP="00A76F8C">
      <w:pPr>
        <w:tabs>
          <w:tab w:val="center" w:pos="2268"/>
          <w:tab w:val="left" w:pos="5812"/>
        </w:tabs>
        <w:ind w:left="1440" w:right="1440"/>
        <w:jc w:val="center"/>
        <w:rPr>
          <w:bCs/>
          <w:i/>
          <w:sz w:val="20"/>
          <w:szCs w:val="20"/>
          <w:lang w:val="fr-FR"/>
        </w:rPr>
      </w:pPr>
      <w:r w:rsidRPr="00645C9E">
        <w:rPr>
          <w:bCs/>
          <w:i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A76F8C" w:rsidRPr="00C22328" w:rsidRDefault="00A76F8C" w:rsidP="00A76F8C">
      <w:pPr>
        <w:rPr>
          <w:rFonts w:ascii="Verdana" w:hAnsi="Verdana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A76F8C" w:rsidRPr="009F7382" w:rsidTr="00CC0B55">
        <w:trPr>
          <w:jc w:val="center"/>
        </w:trPr>
        <w:tc>
          <w:tcPr>
            <w:tcW w:w="4257" w:type="dxa"/>
            <w:shd w:val="clear" w:color="auto" w:fill="auto"/>
          </w:tcPr>
          <w:p w:rsidR="00645C9E" w:rsidRDefault="00645C9E" w:rsidP="00E743F2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</w:p>
          <w:p w:rsidR="00A76F8C" w:rsidRDefault="009F7382" w:rsidP="00E743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23</w:t>
            </w:r>
            <w:r w:rsidR="00A76F8C"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234285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Népal</w:t>
            </w:r>
          </w:p>
          <w:p w:rsidR="00645C9E" w:rsidRPr="00C22328" w:rsidRDefault="00645C9E" w:rsidP="00E743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A76F8C" w:rsidRDefault="00A76F8C" w:rsidP="00CC0B55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 xml:space="preserve">Intervention de la </w:t>
            </w:r>
            <w:r w:rsidR="00645C9E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Belgique</w:t>
            </w:r>
          </w:p>
          <w:p w:rsidR="00645C9E" w:rsidRPr="00C22328" w:rsidRDefault="00645C9E" w:rsidP="00CC0B55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</w:p>
          <w:p w:rsidR="00A76F8C" w:rsidRDefault="00764913" w:rsidP="00376DA0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4</w:t>
            </w:r>
            <w:r w:rsidR="00376DA0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novembre</w:t>
            </w:r>
            <w:r w:rsidR="00CC0B55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2015</w:t>
            </w:r>
          </w:p>
          <w:p w:rsidR="00645C9E" w:rsidRPr="00C22328" w:rsidRDefault="00645C9E" w:rsidP="00376DA0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</w:p>
        </w:tc>
      </w:tr>
    </w:tbl>
    <w:p w:rsidR="00A76F8C" w:rsidRPr="00C22328" w:rsidRDefault="00A76F8C" w:rsidP="00A76F8C">
      <w:pPr>
        <w:rPr>
          <w:rFonts w:ascii="Verdana" w:hAnsi="Verdana"/>
          <w:sz w:val="20"/>
          <w:szCs w:val="20"/>
          <w:lang w:val="fr-FR"/>
        </w:rPr>
      </w:pPr>
    </w:p>
    <w:p w:rsidR="0073149D" w:rsidRPr="00C22328" w:rsidRDefault="0073149D" w:rsidP="00A76F8C">
      <w:pPr>
        <w:rPr>
          <w:rFonts w:ascii="Verdana" w:hAnsi="Verdana"/>
          <w:sz w:val="20"/>
          <w:szCs w:val="20"/>
          <w:lang w:val="fr-FR"/>
        </w:rPr>
      </w:pPr>
    </w:p>
    <w:p w:rsidR="00A76F8C" w:rsidRPr="00C22328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A76F8C" w:rsidRDefault="00A76F8C" w:rsidP="00A76F8C">
      <w:pPr>
        <w:jc w:val="both"/>
        <w:rPr>
          <w:rFonts w:ascii="Verdana" w:hAnsi="Verdana"/>
          <w:sz w:val="20"/>
          <w:szCs w:val="20"/>
          <w:lang w:val="fr-BE"/>
        </w:rPr>
      </w:pPr>
    </w:p>
    <w:p w:rsidR="00AF475E" w:rsidRPr="00AF475E" w:rsidRDefault="00AF475E" w:rsidP="00AF475E">
      <w:pPr>
        <w:jc w:val="both"/>
        <w:rPr>
          <w:rFonts w:ascii="Verdana" w:hAnsi="Verdana"/>
          <w:iCs/>
          <w:sz w:val="20"/>
          <w:szCs w:val="20"/>
          <w:lang w:val="fr-FR"/>
        </w:rPr>
      </w:pPr>
      <w:r w:rsidRPr="00AF475E">
        <w:rPr>
          <w:rFonts w:ascii="Verdana" w:hAnsi="Verdana"/>
          <w:iCs/>
          <w:sz w:val="20"/>
          <w:szCs w:val="20"/>
          <w:lang w:val="fr-BE"/>
        </w:rPr>
        <w:t xml:space="preserve">La Belgique </w:t>
      </w:r>
      <w:r>
        <w:rPr>
          <w:rFonts w:ascii="Verdana" w:hAnsi="Verdana"/>
          <w:iCs/>
          <w:sz w:val="20"/>
          <w:szCs w:val="20"/>
          <w:lang w:val="fr-FR"/>
        </w:rPr>
        <w:t>salue</w:t>
      </w:r>
      <w:r w:rsidRPr="00AF475E">
        <w:rPr>
          <w:rFonts w:ascii="Verdana" w:hAnsi="Verdana"/>
          <w:iCs/>
          <w:sz w:val="20"/>
          <w:szCs w:val="20"/>
          <w:lang w:val="fr-FR"/>
        </w:rPr>
        <w:t xml:space="preserve"> les efforts du Népal en vue de renforcer son bilan en matière de droits de l’homme et se réfère dans ce contexte à l’adoption de la nouvelle Constitution du Népal, adoptée en septembre 2015. </w:t>
      </w:r>
    </w:p>
    <w:p w:rsidR="00AF475E" w:rsidRPr="00C22328" w:rsidRDefault="00AF475E" w:rsidP="00A76F8C">
      <w:pPr>
        <w:jc w:val="both"/>
        <w:rPr>
          <w:rFonts w:ascii="Verdana" w:hAnsi="Verdana"/>
          <w:sz w:val="20"/>
          <w:szCs w:val="20"/>
          <w:lang w:val="fr-BE"/>
        </w:rPr>
      </w:pPr>
    </w:p>
    <w:p w:rsidR="00D36D75" w:rsidRDefault="004B31E2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La Belgique souhaite formuler les trois recommandations suivantes au gouvernement du Népal :</w:t>
      </w:r>
    </w:p>
    <w:p w:rsidR="004B31E2" w:rsidRPr="004B31E2" w:rsidRDefault="004B31E2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D36D75" w:rsidRPr="00D36D75" w:rsidRDefault="006A1C2D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  <w:r w:rsidRPr="006A1C2D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R1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</w:t>
      </w:r>
      <w:r w:rsidR="004B31E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Dans le domaine de la </w:t>
      </w:r>
      <w:r w:rsidR="004B31E2" w:rsidRPr="00431C2D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lutte contre l’impunité</w:t>
      </w:r>
      <w:r w:rsidR="004B31E2">
        <w:rPr>
          <w:rFonts w:ascii="Verdana" w:hAnsi="Verdana" w:cs="Arial"/>
          <w:iCs/>
          <w:color w:val="000000"/>
          <w:sz w:val="20"/>
          <w:szCs w:val="20"/>
          <w:lang w:val="fr-FR"/>
        </w:rPr>
        <w:t>, m</w:t>
      </w:r>
      <w:r w:rsidR="00D36D75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ettre </w:t>
      </w:r>
      <w:r w:rsidR="004B31E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la loi de 2014 relative à </w:t>
      </w:r>
      <w:r w:rsidR="00D36D75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la Commission 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FR"/>
        </w:rPr>
        <w:t>d’enquête sur les personnes disparues, la vérité et la réconciliation</w:t>
      </w:r>
      <w:r w:rsidR="00D36D75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en conformité avec les normes internationales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>, en particulier en ce qui concerne la définition de l’amnistie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FR"/>
        </w:rPr>
        <w:t>, la protection des témoins et les délais de plaintes</w:t>
      </w:r>
      <w:r w:rsidR="00B42501">
        <w:rPr>
          <w:rFonts w:ascii="Verdana" w:hAnsi="Verdana" w:cs="Arial"/>
          <w:iCs/>
          <w:color w:val="000000"/>
          <w:sz w:val="20"/>
          <w:szCs w:val="20"/>
          <w:lang w:val="fr-FR"/>
        </w:rPr>
        <w:t>.</w:t>
      </w:r>
    </w:p>
    <w:p w:rsidR="00D36D75" w:rsidRDefault="00D36D75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:rsidR="00D36D75" w:rsidRDefault="006A1C2D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  <w:r w:rsidRPr="006A1C2D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R2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</w:t>
      </w:r>
      <w:r w:rsidR="004B31E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Dans le domaine de la </w:t>
      </w:r>
      <w:r w:rsidR="004B31E2" w:rsidRPr="00431C2D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lutte contre les violences faites aux femmes et aux filles</w:t>
      </w:r>
      <w:r w:rsidR="004B31E2">
        <w:rPr>
          <w:rFonts w:ascii="Verdana" w:hAnsi="Verdana" w:cs="Arial"/>
          <w:iCs/>
          <w:color w:val="000000"/>
          <w:sz w:val="20"/>
          <w:szCs w:val="20"/>
          <w:lang w:val="fr-FR"/>
        </w:rPr>
        <w:t>, m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>ettre</w:t>
      </w:r>
      <w:r w:rsidR="00D36D75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les lois relatives au viol </w:t>
      </w:r>
      <w:r w:rsidR="00D36D75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en conformité 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>avec les normes internationales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FR"/>
        </w:rPr>
        <w:t>,</w:t>
      </w:r>
      <w:r w:rsidR="00D06B24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FR"/>
        </w:rPr>
        <w:t>en particulier en ce qui concerne la définition légale du viol e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FR"/>
        </w:rPr>
        <w:t>t le délai pour déposer plainte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. </w:t>
      </w:r>
    </w:p>
    <w:p w:rsidR="006A1C2D" w:rsidRPr="00D36D75" w:rsidRDefault="006A1C2D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:rsidR="00B42501" w:rsidRDefault="00B42501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D55607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R3</w:t>
      </w:r>
      <w:r w:rsidRPr="00B42501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 w:rsidR="00431C2D">
        <w:rPr>
          <w:rFonts w:ascii="Verdana" w:hAnsi="Verdana" w:cs="Arial"/>
          <w:iCs/>
          <w:color w:val="000000"/>
          <w:sz w:val="20"/>
          <w:szCs w:val="20"/>
          <w:lang w:val="fr-BE"/>
        </w:rPr>
        <w:t>D’</w:t>
      </w:r>
      <w:r w:rsidR="00D55607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intensifier 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les mesures </w:t>
      </w:r>
      <w:r w:rsidR="00431C2D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de lutte contre la violence faite aux enfants, en particulier en matière 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BE"/>
        </w:rPr>
        <w:t>de</w:t>
      </w:r>
      <w:r w:rsidR="00D55607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prévention des mariages d’enfants, précoces et forcés, </w:t>
      </w:r>
      <w:r w:rsidR="00431C2D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et de </w:t>
      </w:r>
      <w:r w:rsidR="00D55607">
        <w:rPr>
          <w:rFonts w:ascii="Verdana" w:hAnsi="Verdana" w:cs="Arial"/>
          <w:iCs/>
          <w:color w:val="000000"/>
          <w:sz w:val="20"/>
          <w:szCs w:val="20"/>
          <w:lang w:val="fr-BE"/>
        </w:rPr>
        <w:t>la traite des enfants, en particulier au moyen de campagne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BE"/>
        </w:rPr>
        <w:t>s</w:t>
      </w:r>
      <w:r w:rsidR="00D55607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de sensibilisation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auprès des familles</w:t>
      </w:r>
      <w:r w:rsidR="00D55607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. </w:t>
      </w: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D06B24" w:rsidRDefault="00AF475E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Pour conclure, m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BE"/>
        </w:rPr>
        <w:t>a délégation aimerait poser la question suivante</w:t>
      </w:r>
      <w:r w:rsidR="00BD6AB6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à la délégation du Népal</w:t>
      </w:r>
      <w:r w:rsidR="00D06B24">
        <w:rPr>
          <w:rFonts w:ascii="Verdana" w:hAnsi="Verdana" w:cs="Arial"/>
          <w:iCs/>
          <w:color w:val="000000"/>
          <w:sz w:val="20"/>
          <w:szCs w:val="20"/>
          <w:lang w:val="fr-BE"/>
        </w:rPr>
        <w:t> :</w:t>
      </w: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D06B24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Q1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Le gouvernement envisage-t-il l’adhésion au Statut de Rome de la Cour 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BE"/>
        </w:rPr>
        <w:t>p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énale </w:t>
      </w:r>
      <w:r w:rsidR="000B76AE">
        <w:rPr>
          <w:rFonts w:ascii="Verdana" w:hAnsi="Verdana" w:cs="Arial"/>
          <w:iCs/>
          <w:color w:val="000000"/>
          <w:sz w:val="20"/>
          <w:szCs w:val="20"/>
          <w:lang w:val="fr-BE"/>
        </w:rPr>
        <w:t>i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nternationale ? </w:t>
      </w:r>
    </w:p>
    <w:p w:rsidR="00D36D75" w:rsidRDefault="00D36D75" w:rsidP="00A76F8C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BD6AB6" w:rsidRPr="00AF475E" w:rsidRDefault="00BD6AB6" w:rsidP="00A76F8C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A76F8C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Je vous remercie Monsieur le Président.</w:t>
      </w:r>
    </w:p>
    <w:p w:rsidR="00876E89" w:rsidRDefault="00876E89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</w:p>
    <w:p w:rsidR="00876E89" w:rsidRPr="00876E89" w:rsidRDefault="00876E89" w:rsidP="00876E89">
      <w:pPr>
        <w:jc w:val="center"/>
        <w:rPr>
          <w:rFonts w:ascii="Verdana" w:hAnsi="Verdana"/>
          <w:color w:val="000000"/>
          <w:sz w:val="20"/>
          <w:szCs w:val="20"/>
          <w:lang w:val="fr-FR"/>
        </w:rPr>
      </w:pPr>
      <w:r w:rsidRPr="00876E89">
        <w:rPr>
          <w:rFonts w:ascii="Verdana" w:hAnsi="Verdana"/>
          <w:sz w:val="20"/>
          <w:szCs w:val="20"/>
          <w:lang w:val="fr-BE"/>
        </w:rPr>
        <w:t>***</w:t>
      </w:r>
    </w:p>
    <w:p w:rsidR="00CC2DAC" w:rsidRPr="00C22328" w:rsidRDefault="00CC2DAC">
      <w:pPr>
        <w:rPr>
          <w:rFonts w:ascii="Verdana" w:hAnsi="Verdana"/>
          <w:sz w:val="20"/>
          <w:szCs w:val="20"/>
          <w:lang w:val="fr-FR"/>
        </w:rPr>
      </w:pPr>
    </w:p>
    <w:sectPr w:rsidR="00CC2DAC" w:rsidRPr="00C22328" w:rsidSect="00CC0B5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3"/>
    <w:rsid w:val="00044CEC"/>
    <w:rsid w:val="00091314"/>
    <w:rsid w:val="000B76AE"/>
    <w:rsid w:val="001008EF"/>
    <w:rsid w:val="001109D0"/>
    <w:rsid w:val="00180E85"/>
    <w:rsid w:val="001D1DBB"/>
    <w:rsid w:val="001E576C"/>
    <w:rsid w:val="00231E20"/>
    <w:rsid w:val="00234285"/>
    <w:rsid w:val="00236438"/>
    <w:rsid w:val="002621F4"/>
    <w:rsid w:val="0031632B"/>
    <w:rsid w:val="00365B09"/>
    <w:rsid w:val="00376DA0"/>
    <w:rsid w:val="00395D36"/>
    <w:rsid w:val="00397F6A"/>
    <w:rsid w:val="00431C2D"/>
    <w:rsid w:val="0047763A"/>
    <w:rsid w:val="00480E4D"/>
    <w:rsid w:val="004B31E2"/>
    <w:rsid w:val="004C2CC6"/>
    <w:rsid w:val="0051114C"/>
    <w:rsid w:val="005503A0"/>
    <w:rsid w:val="005C77A8"/>
    <w:rsid w:val="005F0275"/>
    <w:rsid w:val="00645C9E"/>
    <w:rsid w:val="00697544"/>
    <w:rsid w:val="006A1C2D"/>
    <w:rsid w:val="006A477D"/>
    <w:rsid w:val="0071518E"/>
    <w:rsid w:val="0073149D"/>
    <w:rsid w:val="00764913"/>
    <w:rsid w:val="007745BC"/>
    <w:rsid w:val="008001DE"/>
    <w:rsid w:val="00802817"/>
    <w:rsid w:val="00876E89"/>
    <w:rsid w:val="008F42B3"/>
    <w:rsid w:val="00976254"/>
    <w:rsid w:val="009D0E2C"/>
    <w:rsid w:val="009F427A"/>
    <w:rsid w:val="009F7382"/>
    <w:rsid w:val="00A04F37"/>
    <w:rsid w:val="00A76F8C"/>
    <w:rsid w:val="00A81381"/>
    <w:rsid w:val="00A85660"/>
    <w:rsid w:val="00AF475E"/>
    <w:rsid w:val="00B42501"/>
    <w:rsid w:val="00BD6AB6"/>
    <w:rsid w:val="00C22328"/>
    <w:rsid w:val="00C2584E"/>
    <w:rsid w:val="00C51F1E"/>
    <w:rsid w:val="00C86ED3"/>
    <w:rsid w:val="00CB14CA"/>
    <w:rsid w:val="00CC0B55"/>
    <w:rsid w:val="00CC2DAC"/>
    <w:rsid w:val="00CC77A9"/>
    <w:rsid w:val="00D06B24"/>
    <w:rsid w:val="00D36D75"/>
    <w:rsid w:val="00D55607"/>
    <w:rsid w:val="00D60469"/>
    <w:rsid w:val="00DA42FD"/>
    <w:rsid w:val="00E27490"/>
    <w:rsid w:val="00E743F2"/>
    <w:rsid w:val="00ED0F7E"/>
    <w:rsid w:val="00FA6A0B"/>
    <w:rsid w:val="00FB0365"/>
    <w:rsid w:val="00FE522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64F36-C6A3-4AF9-804B-226338F862FC}"/>
</file>

<file path=customXml/itemProps2.xml><?xml version="1.0" encoding="utf-8"?>
<ds:datastoreItem xmlns:ds="http://schemas.openxmlformats.org/officeDocument/2006/customXml" ds:itemID="{7D719C1B-109D-472F-A82B-D5D69AD06783}"/>
</file>

<file path=customXml/itemProps3.xml><?xml version="1.0" encoding="utf-8"?>
<ds:datastoreItem xmlns:ds="http://schemas.openxmlformats.org/officeDocument/2006/customXml" ds:itemID="{8B9174BC-0233-4BEE-B34F-231E6411D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1408</Characters>
  <Application>Microsoft Office Word</Application>
  <DocSecurity>0</DocSecurity>
  <Lines>201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Joosten Véronique - M3.1</dc:creator>
  <cp:lastModifiedBy>De Bock Hélène - M3.1</cp:lastModifiedBy>
  <cp:revision>2</cp:revision>
  <cp:lastPrinted>2014-10-17T14:35:00Z</cp:lastPrinted>
  <dcterms:created xsi:type="dcterms:W3CDTF">2015-10-28T16:44:00Z</dcterms:created>
  <dcterms:modified xsi:type="dcterms:W3CDTF">2015-10-28T16:44:00Z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07bccdd3-e09f-46ab-8520-40fcf8a8f7ce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0x010100CA92D31222379248846EF4F1EBFB5EDE0013E56FFADBF7994CAA06A7063D05EC81</vt:lpwstr>
  </property>
</Properties>
</file>