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noProof/>
          <w:color w:val="0D0D0D" w:themeColor="text1" w:themeTint="F2"/>
        </w:rPr>
        <w:drawing>
          <wp:inline distT="0" distB="0" distL="0" distR="0">
            <wp:extent cx="914400" cy="83947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 xml:space="preserve">Statement of the Permanent Mission of Georgia to the UN Office </w:t>
      </w: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and other International Organizations in Geneva</w:t>
      </w: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23</w:t>
      </w:r>
      <w:r>
        <w:rPr>
          <w:rFonts w:cs="Arial"/>
          <w:b/>
          <w:bCs/>
          <w:color w:val="0D0D0D" w:themeColor="text1" w:themeTint="F2"/>
          <w:vertAlign w:val="superscript"/>
        </w:rPr>
        <w:t>nd</w:t>
      </w:r>
      <w:r>
        <w:rPr>
          <w:rFonts w:cs="Arial"/>
          <w:b/>
          <w:bCs/>
          <w:color w:val="0D0D0D" w:themeColor="text1" w:themeTint="F2"/>
        </w:rPr>
        <w:t xml:space="preserve"> Session of the UPR Working Group</w:t>
      </w: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Universal Periodic Review of Myanmar</w:t>
      </w:r>
    </w:p>
    <w:p w:rsidR="00E57FF7" w:rsidRDefault="00E57FF7" w:rsidP="00E57FF7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Geneva, 6 November 2015</w:t>
      </w:r>
    </w:p>
    <w:p w:rsidR="00E57FF7" w:rsidRDefault="00E57FF7" w:rsidP="00E57FF7">
      <w:pPr>
        <w:spacing w:before="240" w:after="240" w:line="360" w:lineRule="auto"/>
        <w:ind w:right="0"/>
        <w:jc w:val="right"/>
        <w:rPr>
          <w:rFonts w:cs="Arial"/>
          <w:b/>
          <w:bCs/>
          <w:color w:val="0D0D0D" w:themeColor="text1" w:themeTint="F2"/>
        </w:rPr>
      </w:pPr>
      <w:r>
        <w:rPr>
          <w:rFonts w:cs="Arial"/>
          <w:bCs/>
          <w:i/>
          <w:color w:val="0D0D0D" w:themeColor="text1" w:themeTint="F2"/>
        </w:rPr>
        <w:t>Check against delivery</w:t>
      </w:r>
      <w:r>
        <w:rPr>
          <w:rFonts w:cs="Arial"/>
          <w:b/>
          <w:bCs/>
          <w:color w:val="0D0D0D" w:themeColor="text1" w:themeTint="F2"/>
        </w:rPr>
        <w:t xml:space="preserve">                                                                                      </w:t>
      </w:r>
    </w:p>
    <w:p w:rsidR="00E57FF7" w:rsidRDefault="00E57FF7" w:rsidP="00E57FF7">
      <w:pPr>
        <w:ind w:right="0"/>
        <w:rPr>
          <w:szCs w:val="24"/>
        </w:rPr>
      </w:pPr>
    </w:p>
    <w:p w:rsidR="00E57FF7" w:rsidRPr="0008217F" w:rsidRDefault="00E57FF7" w:rsidP="00E57FF7">
      <w:pPr>
        <w:ind w:right="0"/>
        <w:rPr>
          <w:szCs w:val="24"/>
        </w:rPr>
      </w:pPr>
      <w:r w:rsidRPr="0008217F">
        <w:rPr>
          <w:szCs w:val="24"/>
        </w:rPr>
        <w:t xml:space="preserve">We warmly welcome the Delegation of </w:t>
      </w:r>
      <w:r>
        <w:rPr>
          <w:szCs w:val="24"/>
        </w:rPr>
        <w:t>Myanmar and thank the Head of Delegation</w:t>
      </w:r>
      <w:r w:rsidRPr="0008217F">
        <w:rPr>
          <w:szCs w:val="24"/>
        </w:rPr>
        <w:t xml:space="preserve"> for the presentation.</w:t>
      </w:r>
    </w:p>
    <w:p w:rsidR="00E57FF7" w:rsidRPr="0008217F" w:rsidRDefault="00E57FF7" w:rsidP="00E57FF7">
      <w:pPr>
        <w:ind w:right="0"/>
        <w:rPr>
          <w:szCs w:val="24"/>
        </w:rPr>
      </w:pPr>
    </w:p>
    <w:p w:rsidR="00E57FF7" w:rsidRDefault="00E57FF7" w:rsidP="00E57FF7">
      <w:pPr>
        <w:ind w:right="0"/>
        <w:rPr>
          <w:szCs w:val="24"/>
        </w:rPr>
      </w:pPr>
      <w:r w:rsidRPr="0008217F">
        <w:rPr>
          <w:szCs w:val="24"/>
        </w:rPr>
        <w:t xml:space="preserve">Georgia </w:t>
      </w:r>
      <w:r>
        <w:rPr>
          <w:szCs w:val="24"/>
        </w:rPr>
        <w:t>welcomes ongoing democratization process and encourages the Government of Myanmar to continue to do so.</w:t>
      </w:r>
    </w:p>
    <w:p w:rsidR="00B649DC" w:rsidRDefault="00B649DC" w:rsidP="00E57FF7">
      <w:pPr>
        <w:ind w:right="0"/>
        <w:rPr>
          <w:szCs w:val="24"/>
        </w:rPr>
      </w:pPr>
    </w:p>
    <w:p w:rsidR="00B649DC" w:rsidRDefault="00B649DC" w:rsidP="00E57FF7">
      <w:pPr>
        <w:ind w:right="0"/>
        <w:rPr>
          <w:szCs w:val="24"/>
        </w:rPr>
      </w:pPr>
      <w:r>
        <w:rPr>
          <w:szCs w:val="24"/>
        </w:rPr>
        <w:t>Georgia welcomes the Presidential amnesties.</w:t>
      </w:r>
    </w:p>
    <w:p w:rsidR="00E57FF7" w:rsidRDefault="00E57FF7" w:rsidP="00E57FF7">
      <w:pPr>
        <w:ind w:right="0"/>
        <w:rPr>
          <w:szCs w:val="24"/>
        </w:rPr>
      </w:pPr>
    </w:p>
    <w:p w:rsidR="00E57FF7" w:rsidRDefault="00E57FF7" w:rsidP="00E57FF7">
      <w:pPr>
        <w:ind w:right="0"/>
        <w:rPr>
          <w:szCs w:val="24"/>
        </w:rPr>
      </w:pPr>
      <w:r>
        <w:rPr>
          <w:szCs w:val="24"/>
        </w:rPr>
        <w:t xml:space="preserve">Georgia </w:t>
      </w:r>
      <w:r w:rsidR="00B649DC">
        <w:rPr>
          <w:szCs w:val="24"/>
        </w:rPr>
        <w:t xml:space="preserve">also </w:t>
      </w:r>
      <w:r>
        <w:rPr>
          <w:szCs w:val="24"/>
        </w:rPr>
        <w:t>welcomes Myanmar joining</w:t>
      </w:r>
      <w:r w:rsidR="00BF2F06">
        <w:rPr>
          <w:szCs w:val="24"/>
        </w:rPr>
        <w:t xml:space="preserve"> important international legal instruments, including</w:t>
      </w:r>
      <w:r>
        <w:rPr>
          <w:szCs w:val="24"/>
        </w:rPr>
        <w:t xml:space="preserve"> CRPD</w:t>
      </w:r>
      <w:r w:rsidR="00107907">
        <w:rPr>
          <w:szCs w:val="24"/>
        </w:rPr>
        <w:t xml:space="preserve"> and ICESCR</w:t>
      </w:r>
      <w:r>
        <w:rPr>
          <w:szCs w:val="24"/>
        </w:rPr>
        <w:t>.</w:t>
      </w:r>
    </w:p>
    <w:p w:rsidR="00E57FF7" w:rsidRDefault="00E57FF7" w:rsidP="00E57FF7">
      <w:pPr>
        <w:tabs>
          <w:tab w:val="left" w:pos="8640"/>
        </w:tabs>
        <w:ind w:right="0"/>
        <w:rPr>
          <w:szCs w:val="24"/>
        </w:rPr>
      </w:pPr>
    </w:p>
    <w:p w:rsidR="00E57FF7" w:rsidRDefault="00E57FF7" w:rsidP="00E57FF7">
      <w:pPr>
        <w:tabs>
          <w:tab w:val="left" w:pos="8640"/>
        </w:tabs>
        <w:ind w:right="0"/>
        <w:rPr>
          <w:szCs w:val="24"/>
        </w:rPr>
      </w:pPr>
      <w:r>
        <w:rPr>
          <w:szCs w:val="24"/>
        </w:rPr>
        <w:t xml:space="preserve">In the light of the aforesaid Georgia recommends: </w:t>
      </w:r>
    </w:p>
    <w:p w:rsidR="00E57FF7" w:rsidRDefault="00E57FF7" w:rsidP="00E57FF7">
      <w:pPr>
        <w:tabs>
          <w:tab w:val="left" w:pos="8640"/>
        </w:tabs>
        <w:ind w:right="0"/>
        <w:rPr>
          <w:szCs w:val="24"/>
        </w:rPr>
      </w:pPr>
    </w:p>
    <w:p w:rsidR="00E57FF7" w:rsidRPr="00C36427" w:rsidRDefault="00E57FF7" w:rsidP="00E57FF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szCs w:val="24"/>
        </w:rPr>
      </w:pPr>
      <w:r w:rsidRPr="00C36427">
        <w:rPr>
          <w:rFonts w:cs="Amnesty Trade Gothic"/>
          <w:color w:val="000000"/>
          <w:szCs w:val="24"/>
        </w:rPr>
        <w:t xml:space="preserve">to </w:t>
      </w:r>
      <w:r w:rsidR="00C36427">
        <w:rPr>
          <w:rFonts w:cs="Amnesty Trade Gothic"/>
          <w:color w:val="000000"/>
          <w:szCs w:val="24"/>
        </w:rPr>
        <w:t>accelerate reforms with the aim to guarantee good governance and more vigorously address the issue of corruption;</w:t>
      </w:r>
    </w:p>
    <w:p w:rsidR="00C36427" w:rsidRPr="00C36427" w:rsidRDefault="00770888" w:rsidP="00E57FF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rFonts w:cs="Amnesty Trade Gothic"/>
          <w:color w:val="000000"/>
          <w:szCs w:val="24"/>
        </w:rPr>
        <w:t xml:space="preserve">to </w:t>
      </w:r>
      <w:r w:rsidR="00C36427">
        <w:rPr>
          <w:rFonts w:cs="Amnesty Trade Gothic"/>
          <w:color w:val="000000"/>
          <w:szCs w:val="24"/>
        </w:rPr>
        <w:t>ratify CAT and ICCPR</w:t>
      </w:r>
    </w:p>
    <w:p w:rsidR="00C36427" w:rsidRDefault="00C36427" w:rsidP="00E57FF7">
      <w:pPr>
        <w:autoSpaceDE w:val="0"/>
        <w:autoSpaceDN w:val="0"/>
        <w:adjustRightInd w:val="0"/>
        <w:ind w:right="0"/>
        <w:jc w:val="left"/>
        <w:rPr>
          <w:szCs w:val="24"/>
        </w:rPr>
      </w:pPr>
    </w:p>
    <w:p w:rsidR="00E57FF7" w:rsidRDefault="00E57FF7" w:rsidP="00E57FF7">
      <w:p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szCs w:val="24"/>
        </w:rPr>
        <w:t>With this in mind, my delegation</w:t>
      </w:r>
      <w:r w:rsidR="00C36427">
        <w:rPr>
          <w:szCs w:val="24"/>
        </w:rPr>
        <w:t xml:space="preserve"> wishes the delegation of Myanmar</w:t>
      </w:r>
      <w:r>
        <w:rPr>
          <w:szCs w:val="24"/>
        </w:rPr>
        <w:t xml:space="preserve"> a successful UPR.</w:t>
      </w:r>
    </w:p>
    <w:p w:rsidR="00E57FF7" w:rsidRDefault="00E57FF7" w:rsidP="00E57FF7">
      <w:pPr>
        <w:autoSpaceDE w:val="0"/>
        <w:autoSpaceDN w:val="0"/>
        <w:adjustRightInd w:val="0"/>
        <w:ind w:right="0"/>
        <w:jc w:val="left"/>
        <w:rPr>
          <w:szCs w:val="24"/>
        </w:rPr>
      </w:pPr>
    </w:p>
    <w:p w:rsidR="00E57FF7" w:rsidRPr="00AA4AD5" w:rsidRDefault="00E57FF7" w:rsidP="00E57FF7">
      <w:pPr>
        <w:autoSpaceDE w:val="0"/>
        <w:autoSpaceDN w:val="0"/>
        <w:adjustRightInd w:val="0"/>
        <w:ind w:right="0"/>
        <w:jc w:val="left"/>
        <w:rPr>
          <w:szCs w:val="24"/>
        </w:rPr>
      </w:pPr>
      <w:r>
        <w:rPr>
          <w:szCs w:val="24"/>
        </w:rPr>
        <w:t>Thank You.</w:t>
      </w:r>
    </w:p>
    <w:p w:rsidR="00E57FF7" w:rsidRDefault="00E57FF7" w:rsidP="00E57FF7">
      <w:pPr>
        <w:tabs>
          <w:tab w:val="left" w:pos="8640"/>
        </w:tabs>
        <w:ind w:right="0"/>
        <w:rPr>
          <w:szCs w:val="24"/>
        </w:rPr>
      </w:pPr>
    </w:p>
    <w:p w:rsidR="00E57FF7" w:rsidRDefault="00E57FF7" w:rsidP="00E57FF7"/>
    <w:p w:rsidR="00E57FF7" w:rsidRDefault="00E57FF7" w:rsidP="00E57FF7">
      <w:pPr>
        <w:pStyle w:val="Default"/>
        <w:rPr>
          <w:i/>
          <w:sz w:val="20"/>
          <w:szCs w:val="20"/>
        </w:rPr>
      </w:pPr>
    </w:p>
    <w:p w:rsidR="00E57FF7" w:rsidRDefault="00E57FF7" w:rsidP="00E57FF7">
      <w:pPr>
        <w:pStyle w:val="Default"/>
        <w:rPr>
          <w:i/>
          <w:sz w:val="20"/>
          <w:szCs w:val="20"/>
        </w:rPr>
      </w:pPr>
    </w:p>
    <w:sectPr w:rsidR="00E57FF7" w:rsidSect="00B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2BA"/>
    <w:multiLevelType w:val="hybridMultilevel"/>
    <w:tmpl w:val="521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57FF7"/>
    <w:rsid w:val="00107907"/>
    <w:rsid w:val="002B28C5"/>
    <w:rsid w:val="00350E76"/>
    <w:rsid w:val="003E13AA"/>
    <w:rsid w:val="00770888"/>
    <w:rsid w:val="008619C9"/>
    <w:rsid w:val="008C6EBA"/>
    <w:rsid w:val="00A235EB"/>
    <w:rsid w:val="00A43F06"/>
    <w:rsid w:val="00A623B2"/>
    <w:rsid w:val="00B0286D"/>
    <w:rsid w:val="00B57DDE"/>
    <w:rsid w:val="00B649DC"/>
    <w:rsid w:val="00BF2F06"/>
    <w:rsid w:val="00C36427"/>
    <w:rsid w:val="00D16A74"/>
    <w:rsid w:val="00D41C9C"/>
    <w:rsid w:val="00E57FF7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F7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F7"/>
    <w:pPr>
      <w:ind w:left="720"/>
      <w:contextualSpacing/>
    </w:pPr>
  </w:style>
  <w:style w:type="paragraph" w:customStyle="1" w:styleId="Default">
    <w:name w:val="Default"/>
    <w:rsid w:val="00E5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E5EE2-EF93-41D4-AE1D-92E199FD3F55}"/>
</file>

<file path=customXml/itemProps2.xml><?xml version="1.0" encoding="utf-8"?>
<ds:datastoreItem xmlns:ds="http://schemas.openxmlformats.org/officeDocument/2006/customXml" ds:itemID="{1B43CE83-3AE8-4302-9893-B845DB2E355E}"/>
</file>

<file path=customXml/itemProps3.xml><?xml version="1.0" encoding="utf-8"?>
<ds:datastoreItem xmlns:ds="http://schemas.openxmlformats.org/officeDocument/2006/customXml" ds:itemID="{0F672644-FC66-440B-B664-46300BA73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ijgenti</dc:creator>
  <cp:lastModifiedBy>Georgia</cp:lastModifiedBy>
  <cp:revision>4</cp:revision>
  <cp:lastPrinted>2015-11-05T15:54:00Z</cp:lastPrinted>
  <dcterms:created xsi:type="dcterms:W3CDTF">2015-11-06T08:54:00Z</dcterms:created>
  <dcterms:modified xsi:type="dcterms:W3CDTF">2015-11-06T09:30:00Z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