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5" w:rsidRPr="00AF1F45" w:rsidRDefault="00AF1F45" w:rsidP="00AF1F45">
      <w:pPr>
        <w:tabs>
          <w:tab w:val="left" w:pos="426"/>
          <w:tab w:val="left" w:pos="709"/>
          <w:tab w:val="left" w:pos="851"/>
          <w:tab w:val="left" w:pos="1418"/>
        </w:tabs>
        <w:suppressAutoHyphens/>
        <w:spacing w:after="0" w:line="360" w:lineRule="auto"/>
        <w:ind w:left="426" w:hanging="993"/>
        <w:rPr>
          <w:rFonts w:ascii="Times New Roman" w:eastAsia="Times New Roman" w:hAnsi="Times New Roman" w:cs="Times New Roman"/>
          <w:sz w:val="24"/>
          <w:szCs w:val="24"/>
          <w:lang w:val="cs-CZ" w:eastAsia="ar-SA"/>
        </w:rPr>
      </w:pPr>
      <w:r>
        <w:rPr>
          <w:rFonts w:ascii="Times New Roman" w:eastAsia="Times New Roman" w:hAnsi="Times New Roman" w:cs="Times New Roman"/>
          <w:noProof/>
          <w:sz w:val="24"/>
          <w:szCs w:val="24"/>
          <w:lang w:eastAsia="de-DE"/>
        </w:rPr>
        <w:drawing>
          <wp:inline distT="0" distB="0" distL="0" distR="0" wp14:anchorId="7085F570" wp14:editId="5E25B68F">
            <wp:extent cx="3287395" cy="1284605"/>
            <wp:effectExtent l="0" t="0" r="8255" b="0"/>
            <wp:docPr id="1" name="Grafik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7395" cy="1284605"/>
                    </a:xfrm>
                    <a:prstGeom prst="rect">
                      <a:avLst/>
                    </a:prstGeom>
                    <a:noFill/>
                    <a:ln>
                      <a:noFill/>
                    </a:ln>
                  </pic:spPr>
                </pic:pic>
              </a:graphicData>
            </a:graphic>
          </wp:inline>
        </w:drawing>
      </w:r>
    </w:p>
    <w:p w:rsidR="00AF1F45" w:rsidRPr="00AF1F45" w:rsidRDefault="00AF1F45" w:rsidP="00AF1F45">
      <w:pPr>
        <w:tabs>
          <w:tab w:val="left" w:pos="567"/>
          <w:tab w:val="left" w:pos="709"/>
          <w:tab w:val="left" w:pos="851"/>
          <w:tab w:val="left" w:pos="1418"/>
        </w:tabs>
        <w:suppressAutoHyphens/>
        <w:spacing w:after="0" w:line="360" w:lineRule="auto"/>
        <w:ind w:left="426"/>
        <w:rPr>
          <w:rFonts w:ascii="Times New Roman" w:eastAsia="Times New Roman" w:hAnsi="Times New Roman" w:cs="Times New Roman"/>
          <w:sz w:val="24"/>
          <w:szCs w:val="24"/>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suppressAutoHyphens/>
        <w:spacing w:after="0" w:line="360" w:lineRule="auto"/>
        <w:jc w:val="center"/>
        <w:rPr>
          <w:rFonts w:ascii="Verdana" w:eastAsia="Times New Roman" w:hAnsi="Verdana" w:cs="Times New Roman"/>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United Nations Human Rights Council</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1</w:t>
      </w:r>
      <w:r w:rsidR="00E35B6A">
        <w:rPr>
          <w:rFonts w:ascii="Calibri" w:eastAsia="Times New Roman" w:hAnsi="Calibri" w:cs="Calibri"/>
          <w:b/>
          <w:color w:val="000000"/>
          <w:sz w:val="24"/>
          <w:szCs w:val="24"/>
          <w:lang w:val="en-US" w:eastAsia="ar-SA"/>
        </w:rPr>
        <w:t>9</w:t>
      </w:r>
      <w:r w:rsidRPr="00AF1F45">
        <w:rPr>
          <w:rFonts w:ascii="Calibri" w:eastAsia="Times New Roman" w:hAnsi="Calibri" w:cs="Calibri"/>
          <w:b/>
          <w:color w:val="000000"/>
          <w:sz w:val="24"/>
          <w:szCs w:val="24"/>
          <w:lang w:val="en-US" w:eastAsia="ar-SA"/>
        </w:rPr>
        <w:t>th Session of the UPR Working Group</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 xml:space="preserve">Geneva, </w:t>
      </w:r>
      <w:r w:rsidR="00987974">
        <w:rPr>
          <w:rFonts w:ascii="Calibri" w:eastAsia="Times New Roman" w:hAnsi="Calibri" w:cs="Calibri"/>
          <w:b/>
          <w:color w:val="000000"/>
          <w:sz w:val="24"/>
          <w:szCs w:val="24"/>
          <w:lang w:val="en-US" w:eastAsia="ar-SA"/>
        </w:rPr>
        <w:t>28.04.2014</w:t>
      </w:r>
      <w:r w:rsidRPr="00AF1F45">
        <w:rPr>
          <w:rFonts w:ascii="Calibri" w:eastAsia="Times New Roman" w:hAnsi="Calibri" w:cs="Calibri"/>
          <w:b/>
          <w:color w:val="000000"/>
          <w:sz w:val="24"/>
          <w:szCs w:val="24"/>
          <w:lang w:val="en-US" w:eastAsia="ar-SA"/>
        </w:rPr>
        <w:br/>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German questions and recommendations to</w:t>
      </w:r>
    </w:p>
    <w:p w:rsidR="00AF1F45" w:rsidRPr="00AF1F45" w:rsidRDefault="00987974" w:rsidP="00AF1F45">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Norway</w:t>
      </w:r>
    </w:p>
    <w:p w:rsidR="00AF1F45" w:rsidRPr="00AF1F45" w:rsidRDefault="00AF1F45" w:rsidP="00AF1F45">
      <w:pPr>
        <w:suppressAutoHyphens/>
        <w:spacing w:after="0" w:line="360" w:lineRule="auto"/>
        <w:jc w:val="center"/>
        <w:rPr>
          <w:rFonts w:ascii="Calibri" w:eastAsia="Times New Roman" w:hAnsi="Calibri" w:cs="Calibri"/>
          <w:b/>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sz w:val="24"/>
          <w:szCs w:val="24"/>
          <w:lang w:val="en-US" w:eastAsia="ar-SA"/>
        </w:rPr>
      </w:pPr>
      <w:r w:rsidRPr="00AF1F45">
        <w:rPr>
          <w:rFonts w:ascii="Calibri" w:eastAsia="Times New Roman" w:hAnsi="Calibri" w:cs="Calibri"/>
          <w:b/>
          <w:sz w:val="24"/>
          <w:szCs w:val="24"/>
          <w:lang w:val="en-US" w:eastAsia="ar-SA"/>
        </w:rPr>
        <w:t>German National Statement</w:t>
      </w:r>
    </w:p>
    <w:p w:rsidR="00E805F2" w:rsidRDefault="00E805F2">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987974" w:rsidRPr="00D07950" w:rsidRDefault="00987974" w:rsidP="00987974">
      <w:pPr>
        <w:rPr>
          <w:sz w:val="28"/>
          <w:szCs w:val="28"/>
          <w:lang w:val="en-US"/>
        </w:rPr>
      </w:pPr>
      <w:r w:rsidRPr="00D07950">
        <w:rPr>
          <w:sz w:val="28"/>
          <w:szCs w:val="28"/>
          <w:lang w:val="en-US"/>
        </w:rPr>
        <w:lastRenderedPageBreak/>
        <w:t>Mister President,</w:t>
      </w:r>
    </w:p>
    <w:p w:rsidR="00987974" w:rsidRPr="00D07950" w:rsidRDefault="00987974" w:rsidP="00987974">
      <w:pPr>
        <w:rPr>
          <w:sz w:val="28"/>
          <w:szCs w:val="28"/>
          <w:lang w:val="en-US"/>
        </w:rPr>
      </w:pPr>
    </w:p>
    <w:p w:rsidR="00987974" w:rsidRPr="00BB0CDB" w:rsidRDefault="00987974" w:rsidP="00987974">
      <w:pPr>
        <w:jc w:val="both"/>
        <w:rPr>
          <w:sz w:val="28"/>
          <w:szCs w:val="28"/>
          <w:lang w:val="en-US"/>
        </w:rPr>
      </w:pPr>
      <w:r>
        <w:rPr>
          <w:sz w:val="28"/>
          <w:szCs w:val="28"/>
          <w:lang w:val="en-US"/>
        </w:rPr>
        <w:t>Germany welcomes the delegation of Norway and appreciates the efforts Norway has undertaken in response to recommendations made during the previous UPR cycle. While recognizing Norway’s very good human rights record, we would like to put forward the following recommendations:</w:t>
      </w:r>
    </w:p>
    <w:p w:rsidR="00987974" w:rsidRPr="00D07950" w:rsidRDefault="00987974" w:rsidP="00987974">
      <w:pPr>
        <w:rPr>
          <w:sz w:val="24"/>
          <w:szCs w:val="24"/>
          <w:lang w:val="en-US"/>
        </w:rPr>
      </w:pPr>
    </w:p>
    <w:p w:rsidR="00987974" w:rsidRPr="00C662B9" w:rsidRDefault="00987974" w:rsidP="00987974">
      <w:pPr>
        <w:pStyle w:val="Listenabsatz"/>
        <w:numPr>
          <w:ilvl w:val="0"/>
          <w:numId w:val="4"/>
        </w:numPr>
        <w:rPr>
          <w:sz w:val="28"/>
          <w:szCs w:val="24"/>
          <w:lang w:val="en-US"/>
        </w:rPr>
      </w:pPr>
      <w:r>
        <w:rPr>
          <w:sz w:val="28"/>
          <w:szCs w:val="24"/>
          <w:lang w:val="en-US"/>
        </w:rPr>
        <w:t>To</w:t>
      </w:r>
      <w:r w:rsidRPr="008A178D">
        <w:rPr>
          <w:sz w:val="28"/>
          <w:szCs w:val="24"/>
          <w:lang w:val="en-US"/>
        </w:rPr>
        <w:t xml:space="preserve"> sustain its dialogue with indigenous groups affected by the</w:t>
      </w:r>
      <w:r>
        <w:rPr>
          <w:sz w:val="28"/>
          <w:szCs w:val="24"/>
          <w:lang w:val="en-US"/>
        </w:rPr>
        <w:t xml:space="preserve"> intensified</w:t>
      </w:r>
      <w:r w:rsidRPr="008A178D">
        <w:rPr>
          <w:sz w:val="28"/>
          <w:szCs w:val="24"/>
          <w:lang w:val="en-US"/>
        </w:rPr>
        <w:t xml:space="preserve"> st</w:t>
      </w:r>
      <w:r>
        <w:rPr>
          <w:sz w:val="28"/>
          <w:szCs w:val="24"/>
          <w:lang w:val="en-US"/>
        </w:rPr>
        <w:t>ate’s mining activities in the North and</w:t>
      </w:r>
      <w:r w:rsidRPr="00C662B9">
        <w:rPr>
          <w:sz w:val="28"/>
          <w:szCs w:val="24"/>
          <w:lang w:val="en-US"/>
        </w:rPr>
        <w:t xml:space="preserve"> </w:t>
      </w:r>
      <w:r>
        <w:rPr>
          <w:sz w:val="28"/>
          <w:szCs w:val="24"/>
          <w:lang w:val="en-US"/>
        </w:rPr>
        <w:t>to reach an agreement that is acceptable for both sides;</w:t>
      </w:r>
    </w:p>
    <w:p w:rsidR="00987974" w:rsidRDefault="00987974" w:rsidP="00987974">
      <w:pPr>
        <w:pStyle w:val="Listenabsatz"/>
        <w:jc w:val="both"/>
        <w:rPr>
          <w:sz w:val="28"/>
          <w:szCs w:val="28"/>
          <w:lang w:val="en-US"/>
        </w:rPr>
      </w:pPr>
    </w:p>
    <w:p w:rsidR="00987974" w:rsidRPr="00FA6A96" w:rsidRDefault="00987974" w:rsidP="00987974">
      <w:pPr>
        <w:pStyle w:val="Listenabsatz"/>
        <w:jc w:val="both"/>
        <w:rPr>
          <w:sz w:val="28"/>
          <w:szCs w:val="28"/>
          <w:lang w:val="en-US"/>
        </w:rPr>
      </w:pPr>
    </w:p>
    <w:p w:rsidR="00987974" w:rsidRDefault="00987974" w:rsidP="00987974">
      <w:pPr>
        <w:pStyle w:val="Listenabsatz"/>
        <w:numPr>
          <w:ilvl w:val="0"/>
          <w:numId w:val="4"/>
        </w:numPr>
        <w:jc w:val="both"/>
        <w:rPr>
          <w:sz w:val="28"/>
          <w:szCs w:val="28"/>
          <w:lang w:val="en-US"/>
        </w:rPr>
      </w:pPr>
      <w:r>
        <w:rPr>
          <w:sz w:val="28"/>
          <w:szCs w:val="28"/>
          <w:lang w:val="en-US"/>
        </w:rPr>
        <w:t>To continue giving top priority to the issue of unaccompanied asylum-seeking minors placed in as</w:t>
      </w:r>
      <w:bookmarkStart w:id="0" w:name="_GoBack"/>
      <w:bookmarkEnd w:id="0"/>
      <w:r>
        <w:rPr>
          <w:sz w:val="28"/>
          <w:szCs w:val="28"/>
          <w:lang w:val="en-US"/>
        </w:rPr>
        <w:t>ylum centers and protecting them from disappearance, including providing the necessary resources, enhancing measures to quickly identify and bolstering previous efforts in this regard;</w:t>
      </w:r>
    </w:p>
    <w:p w:rsidR="00987974" w:rsidRPr="00FA6A96" w:rsidRDefault="00987974" w:rsidP="00987974">
      <w:pPr>
        <w:pStyle w:val="Listenabsatz"/>
        <w:rPr>
          <w:sz w:val="28"/>
          <w:szCs w:val="28"/>
          <w:lang w:val="en-US"/>
        </w:rPr>
      </w:pPr>
    </w:p>
    <w:p w:rsidR="00987974" w:rsidRPr="00FA6A96" w:rsidRDefault="00987974" w:rsidP="00987974">
      <w:pPr>
        <w:pStyle w:val="Listenabsatz"/>
        <w:jc w:val="both"/>
        <w:rPr>
          <w:sz w:val="28"/>
          <w:szCs w:val="28"/>
          <w:lang w:val="en-US"/>
        </w:rPr>
      </w:pPr>
    </w:p>
    <w:p w:rsidR="00987974" w:rsidRDefault="00987974" w:rsidP="00987974">
      <w:pPr>
        <w:pStyle w:val="Listenabsatz"/>
        <w:numPr>
          <w:ilvl w:val="0"/>
          <w:numId w:val="4"/>
        </w:numPr>
        <w:rPr>
          <w:sz w:val="28"/>
          <w:szCs w:val="28"/>
          <w:lang w:val="en-US"/>
        </w:rPr>
      </w:pPr>
      <w:r>
        <w:rPr>
          <w:sz w:val="28"/>
          <w:szCs w:val="28"/>
          <w:lang w:val="en-US"/>
        </w:rPr>
        <w:t xml:space="preserve">To ratify </w:t>
      </w:r>
      <w:r w:rsidRPr="00C36B3A">
        <w:rPr>
          <w:sz w:val="28"/>
          <w:szCs w:val="28"/>
          <w:lang w:val="en-US"/>
        </w:rPr>
        <w:t>the Optional Protocol to the Convention on the Rights of</w:t>
      </w:r>
      <w:r>
        <w:rPr>
          <w:sz w:val="28"/>
          <w:szCs w:val="28"/>
          <w:lang w:val="en-US"/>
        </w:rPr>
        <w:t xml:space="preserve"> </w:t>
      </w:r>
      <w:r w:rsidRPr="00C36B3A">
        <w:rPr>
          <w:sz w:val="28"/>
          <w:szCs w:val="28"/>
          <w:lang w:val="en-US"/>
        </w:rPr>
        <w:t>the Chil</w:t>
      </w:r>
      <w:r>
        <w:rPr>
          <w:sz w:val="28"/>
          <w:szCs w:val="28"/>
          <w:lang w:val="en-US"/>
        </w:rPr>
        <w:t>d on the sale of children, child prostitution and child pornography.</w:t>
      </w:r>
    </w:p>
    <w:p w:rsidR="00987974" w:rsidRPr="00D07950" w:rsidRDefault="00987974" w:rsidP="00987974">
      <w:pPr>
        <w:rPr>
          <w:sz w:val="24"/>
          <w:szCs w:val="24"/>
          <w:lang w:val="en-US"/>
        </w:rPr>
      </w:pPr>
    </w:p>
    <w:p w:rsidR="00987974" w:rsidRPr="00D07950" w:rsidRDefault="00987974" w:rsidP="00987974">
      <w:pPr>
        <w:rPr>
          <w:sz w:val="24"/>
          <w:szCs w:val="24"/>
          <w:lang w:val="en-US"/>
        </w:rPr>
      </w:pPr>
    </w:p>
    <w:p w:rsidR="00987974" w:rsidRPr="00D25C43" w:rsidRDefault="00987974" w:rsidP="00987974">
      <w:pPr>
        <w:rPr>
          <w:sz w:val="28"/>
          <w:szCs w:val="28"/>
          <w:lang w:val="en-US"/>
        </w:rPr>
      </w:pPr>
      <w:r>
        <w:rPr>
          <w:sz w:val="28"/>
          <w:szCs w:val="28"/>
          <w:lang w:val="en-US"/>
        </w:rPr>
        <w:t>Thank you, Mister President.</w:t>
      </w:r>
    </w:p>
    <w:p w:rsidR="00987974" w:rsidRDefault="00987974" w:rsidP="00987974">
      <w:pPr>
        <w:rPr>
          <w:b/>
          <w:sz w:val="24"/>
          <w:szCs w:val="24"/>
          <w:lang w:val="en-US"/>
        </w:rPr>
      </w:pPr>
      <w:r>
        <w:rPr>
          <w:b/>
          <w:sz w:val="24"/>
          <w:szCs w:val="24"/>
          <w:lang w:val="en-US"/>
        </w:rPr>
        <w:br w:type="page"/>
      </w:r>
    </w:p>
    <w:p w:rsidR="00987974" w:rsidRPr="008F29B4" w:rsidRDefault="00987974" w:rsidP="00987974">
      <w:pPr>
        <w:rPr>
          <w:b/>
          <w:sz w:val="24"/>
          <w:szCs w:val="24"/>
          <w:lang w:val="en-US"/>
        </w:rPr>
      </w:pPr>
      <w:r w:rsidRPr="008F29B4">
        <w:rPr>
          <w:b/>
          <w:sz w:val="24"/>
          <w:szCs w:val="24"/>
          <w:lang w:val="en-US"/>
        </w:rPr>
        <w:lastRenderedPageBreak/>
        <w:t>Questions submitted in advance:</w:t>
      </w:r>
    </w:p>
    <w:p w:rsidR="00987974" w:rsidRPr="00D25C43" w:rsidRDefault="00987974" w:rsidP="00987974">
      <w:pPr>
        <w:rPr>
          <w:lang w:val="en-US"/>
        </w:rPr>
      </w:pPr>
    </w:p>
    <w:p w:rsidR="00987974" w:rsidRPr="00D25C43" w:rsidRDefault="00987974" w:rsidP="00987974">
      <w:pPr>
        <w:rPr>
          <w:lang w:val="en-US"/>
        </w:rPr>
      </w:pPr>
    </w:p>
    <w:p w:rsidR="00987974" w:rsidRDefault="00987974" w:rsidP="00987974">
      <w:pPr>
        <w:pStyle w:val="Listenabsatz"/>
        <w:numPr>
          <w:ilvl w:val="0"/>
          <w:numId w:val="3"/>
        </w:numPr>
        <w:jc w:val="both"/>
        <w:rPr>
          <w:sz w:val="24"/>
          <w:szCs w:val="24"/>
          <w:lang w:val="en-US"/>
        </w:rPr>
      </w:pPr>
      <w:r w:rsidRPr="00FD78E9">
        <w:rPr>
          <w:sz w:val="24"/>
          <w:szCs w:val="24"/>
          <w:lang w:val="en-US"/>
        </w:rPr>
        <w:t>In light of</w:t>
      </w:r>
      <w:r>
        <w:rPr>
          <w:sz w:val="24"/>
          <w:szCs w:val="24"/>
          <w:lang w:val="en-US"/>
        </w:rPr>
        <w:t xml:space="preserve"> Norway’s plans to expand its mining activities and given the adoption of a new mineral policy in 2013</w:t>
      </w:r>
      <w:r w:rsidRPr="0095070D">
        <w:rPr>
          <w:sz w:val="24"/>
          <w:szCs w:val="24"/>
          <w:lang w:val="en-US"/>
        </w:rPr>
        <w:t xml:space="preserve">, </w:t>
      </w:r>
      <w:r>
        <w:rPr>
          <w:sz w:val="24"/>
          <w:szCs w:val="24"/>
          <w:lang w:val="en-US"/>
        </w:rPr>
        <w:t>what measures is the state taking to protect the rights of indigenous people</w:t>
      </w:r>
      <w:r w:rsidRPr="0095070D">
        <w:rPr>
          <w:sz w:val="24"/>
          <w:szCs w:val="24"/>
          <w:lang w:val="en-US"/>
        </w:rPr>
        <w:t xml:space="preserve">? </w:t>
      </w:r>
      <w:r>
        <w:rPr>
          <w:sz w:val="24"/>
          <w:szCs w:val="24"/>
          <w:lang w:val="en-US"/>
        </w:rPr>
        <w:t xml:space="preserve">How can traditional livelihoods, particularly </w:t>
      </w:r>
      <w:r w:rsidRPr="00FC186F">
        <w:rPr>
          <w:sz w:val="24"/>
          <w:szCs w:val="24"/>
          <w:lang w:val="en-US"/>
        </w:rPr>
        <w:t>grazing and fishing rights</w:t>
      </w:r>
      <w:r>
        <w:rPr>
          <w:sz w:val="24"/>
          <w:szCs w:val="24"/>
          <w:lang w:val="en-US"/>
        </w:rPr>
        <w:t>, be secured in a mining environment?</w:t>
      </w:r>
      <w:r w:rsidRPr="00FC186F">
        <w:rPr>
          <w:sz w:val="24"/>
          <w:szCs w:val="24"/>
          <w:lang w:val="en-US"/>
        </w:rPr>
        <w:t xml:space="preserve"> Is Norway planning to continue the dialogue with affected population groups in order to find a mutually acceptable agreement?</w:t>
      </w:r>
    </w:p>
    <w:p w:rsidR="00987974" w:rsidRDefault="00987974" w:rsidP="00987974">
      <w:pPr>
        <w:pStyle w:val="Listenabsatz"/>
        <w:jc w:val="both"/>
        <w:rPr>
          <w:sz w:val="24"/>
          <w:szCs w:val="24"/>
          <w:lang w:val="en-US"/>
        </w:rPr>
      </w:pPr>
    </w:p>
    <w:p w:rsidR="00987974" w:rsidRDefault="00987974" w:rsidP="00987974">
      <w:pPr>
        <w:pStyle w:val="Listenabsatz"/>
        <w:numPr>
          <w:ilvl w:val="0"/>
          <w:numId w:val="3"/>
        </w:numPr>
        <w:jc w:val="both"/>
        <w:rPr>
          <w:sz w:val="24"/>
          <w:szCs w:val="24"/>
          <w:lang w:val="en-US"/>
        </w:rPr>
      </w:pPr>
      <w:r>
        <w:rPr>
          <w:sz w:val="24"/>
          <w:szCs w:val="24"/>
          <w:lang w:val="en-US"/>
        </w:rPr>
        <w:t xml:space="preserve">In 2009, Germany recommended to promote gender equality, particularly with regard to education and the position of women in the labor market. Is Norway still planning to fully implement the </w:t>
      </w:r>
      <w:r w:rsidRPr="00A452ED">
        <w:rPr>
          <w:i/>
          <w:sz w:val="24"/>
          <w:szCs w:val="24"/>
          <w:lang w:val="en-US"/>
        </w:rPr>
        <w:t>Gender Equality Action Plan</w:t>
      </w:r>
      <w:r>
        <w:rPr>
          <w:sz w:val="24"/>
          <w:szCs w:val="24"/>
          <w:lang w:val="en-US"/>
        </w:rPr>
        <w:t xml:space="preserve"> </w:t>
      </w:r>
      <w:r w:rsidRPr="00D25C43">
        <w:rPr>
          <w:i/>
          <w:sz w:val="24"/>
          <w:szCs w:val="24"/>
          <w:lang w:val="en-US"/>
        </w:rPr>
        <w:t>2014</w:t>
      </w:r>
      <w:r>
        <w:rPr>
          <w:sz w:val="24"/>
          <w:szCs w:val="24"/>
          <w:lang w:val="en-US"/>
        </w:rPr>
        <w:t xml:space="preserve"> launched by the former administration in 2011? Regarding the integration of female immigrants in the labor market, have there been notable improvements as a result of new policies and programs? </w:t>
      </w:r>
    </w:p>
    <w:p w:rsidR="00987974" w:rsidRDefault="00987974">
      <w:pPr>
        <w:rPr>
          <w:lang w:val="en-US"/>
        </w:rPr>
      </w:pPr>
    </w:p>
    <w:sectPr w:rsidR="00987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9E"/>
    <w:multiLevelType w:val="hybridMultilevel"/>
    <w:tmpl w:val="42C27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2821D1"/>
    <w:multiLevelType w:val="hybridMultilevel"/>
    <w:tmpl w:val="9EA84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3A2BC6"/>
    <w:multiLevelType w:val="hybridMultilevel"/>
    <w:tmpl w:val="ABEE7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954A12"/>
    <w:multiLevelType w:val="hybridMultilevel"/>
    <w:tmpl w:val="2D961D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5"/>
    <w:rsid w:val="00051DDA"/>
    <w:rsid w:val="00112A38"/>
    <w:rsid w:val="001335BE"/>
    <w:rsid w:val="001E5773"/>
    <w:rsid w:val="00233F9E"/>
    <w:rsid w:val="002A40CD"/>
    <w:rsid w:val="003D6D5D"/>
    <w:rsid w:val="003F28A2"/>
    <w:rsid w:val="0043539A"/>
    <w:rsid w:val="00470BE0"/>
    <w:rsid w:val="00486E01"/>
    <w:rsid w:val="004B6B4A"/>
    <w:rsid w:val="004C4B21"/>
    <w:rsid w:val="00535913"/>
    <w:rsid w:val="00595925"/>
    <w:rsid w:val="00596889"/>
    <w:rsid w:val="005C3408"/>
    <w:rsid w:val="005C6628"/>
    <w:rsid w:val="005D2AAE"/>
    <w:rsid w:val="0060488F"/>
    <w:rsid w:val="00651D98"/>
    <w:rsid w:val="00742560"/>
    <w:rsid w:val="007624DB"/>
    <w:rsid w:val="008D3B8A"/>
    <w:rsid w:val="0093407A"/>
    <w:rsid w:val="00936345"/>
    <w:rsid w:val="00987974"/>
    <w:rsid w:val="009A1F17"/>
    <w:rsid w:val="009A581F"/>
    <w:rsid w:val="009C7F23"/>
    <w:rsid w:val="009F0FDB"/>
    <w:rsid w:val="00A20331"/>
    <w:rsid w:val="00A34328"/>
    <w:rsid w:val="00A71916"/>
    <w:rsid w:val="00AE20AE"/>
    <w:rsid w:val="00AF1A0E"/>
    <w:rsid w:val="00AF1F45"/>
    <w:rsid w:val="00BC4828"/>
    <w:rsid w:val="00C7677C"/>
    <w:rsid w:val="00C9085A"/>
    <w:rsid w:val="00DD5537"/>
    <w:rsid w:val="00E02B20"/>
    <w:rsid w:val="00E35B6A"/>
    <w:rsid w:val="00E52907"/>
    <w:rsid w:val="00E55DB2"/>
    <w:rsid w:val="00E805F2"/>
    <w:rsid w:val="00F429B0"/>
    <w:rsid w:val="00F5094E"/>
    <w:rsid w:val="00F66528"/>
    <w:rsid w:val="00F71C1B"/>
    <w:rsid w:val="00F86088"/>
    <w:rsid w:val="00FA183A"/>
    <w:rsid w:val="00FD5188"/>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0705573BE3EE47B5C11348D91E034D" ma:contentTypeVersion="2" ma:contentTypeDescription="Country Statements" ma:contentTypeScope="" ma:versionID="4430ef557c1157ab8b99186b47e387f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83</Order1>
  </documentManagement>
</p:properties>
</file>

<file path=customXml/itemProps1.xml><?xml version="1.0" encoding="utf-8"?>
<ds:datastoreItem xmlns:ds="http://schemas.openxmlformats.org/officeDocument/2006/customXml" ds:itemID="{590A3766-6A01-4F86-9C3C-0370EC5356EE}"/>
</file>

<file path=customXml/itemProps2.xml><?xml version="1.0" encoding="utf-8"?>
<ds:datastoreItem xmlns:ds="http://schemas.openxmlformats.org/officeDocument/2006/customXml" ds:itemID="{DD788A0A-0125-4832-92E2-2C69558B22C9}"/>
</file>

<file path=customXml/itemProps3.xml><?xml version="1.0" encoding="utf-8"?>
<ds:datastoreItem xmlns:ds="http://schemas.openxmlformats.org/officeDocument/2006/customXml" ds:itemID="{EC0768F4-82D6-4876-A47A-9DCD12344EAC}"/>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Jurisic, Natalia Boba (AA privat)</dc:creator>
  <cp:lastModifiedBy>Oezbek, Elisa (AA privat)</cp:lastModifiedBy>
  <cp:revision>3</cp:revision>
  <cp:lastPrinted>2014-01-14T11:23:00Z</cp:lastPrinted>
  <dcterms:created xsi:type="dcterms:W3CDTF">2014-04-15T13:04:00Z</dcterms:created>
  <dcterms:modified xsi:type="dcterms:W3CDTF">2014-04-22T14:21:00Z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0x010100CA92D31222379248846EF4F1EBFB5EDE002E0705573BE3EE47B5C11348D91E034D</vt:lpwstr>
  </property>
</Properties>
</file>